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7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6" w:firstLineChars="201"/>
        <w:jc w:val="center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采购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需求</w:t>
      </w:r>
    </w:p>
    <w:p w14:paraId="350152E1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14公寓负一层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商铺招标技术说明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4A4138C1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为了更好的服务师生，现对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14号学生公寓负一层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商铺进行招租。</w:t>
      </w:r>
    </w:p>
    <w:p w14:paraId="48911C0C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一、基本情况</w:t>
      </w:r>
    </w:p>
    <w:p w14:paraId="136E6C4F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1.商铺位置：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本次引进商铺共4个，编号为1-4号，位于14号学生公寓负一层（可同时报名）。</w:t>
      </w:r>
    </w:p>
    <w:p w14:paraId="3308942B">
      <w:pPr>
        <w:snapToGrid w:val="0"/>
        <w:spacing w:line="560" w:lineRule="exact"/>
        <w:ind w:firstLine="484" w:firstLineChars="201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2.经营范围：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1号商铺经营项目为西餐简餐店，参考麦当劳、肯德基、汉堡王、赛百味等同级别或更畅销西餐连锁品牌；2号商铺经营项目为中餐简餐店，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须具有传统中式面食品类（如包子、饺子、面条、馅饼等）项目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，参考景仁馅饼、喜家德、超意兴等同级别或更畅销中餐连锁品牌；3号商铺经营项目为饮品店，参考蜜雪冰城、喜茶、沪上阿姨、1点点等畅销饮品连锁；4号商铺经营项目为理发店。</w:t>
      </w:r>
    </w:p>
    <w:p w14:paraId="1409567F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3.使用面积：</w:t>
      </w:r>
      <w:bookmarkStart w:id="0" w:name="_GoBack"/>
      <w:bookmarkEnd w:id="0"/>
    </w:p>
    <w:p w14:paraId="30828DFF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（1）本次招租项目总面积约250平方米，其中1号商铺暂估面积约100-160平方米，2号商铺暂估面积约50-110平方米,3号商铺暂估面积约20-25平方米，4号商铺暂估面积约20-25平方米。</w:t>
      </w:r>
    </w:p>
    <w:p w14:paraId="1DEE2DAB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（2）供应商根据采购人的暂估面积范围，在投标文件中填报其承租商铺计划使用面积，开标现场根据磋商及评审结果，按照1-4号商铺的顺序，由各包预成交供应商再次确定其承租商铺规划使用面积，即：</w:t>
      </w:r>
    </w:p>
    <w:p w14:paraId="6282CCF0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1号商铺预成交供应商在暂估面积内优先选择商铺使用面积；</w:t>
      </w:r>
    </w:p>
    <w:p w14:paraId="4784330B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2号商铺预成交供应商，在保证后续商铺最低面积的前提下，优先选择商铺使用面积；</w:t>
      </w:r>
    </w:p>
    <w:p w14:paraId="25278B02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3号商铺预成交供应商，在保证后续商铺最低面积的前提下，优先选择商铺使用面积；</w:t>
      </w:r>
    </w:p>
    <w:p w14:paraId="7FBE9486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4号商铺预成交供应商，在剩余面积内选择承租面积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5A010AEE">
      <w:pPr>
        <w:snapToGrid w:val="0"/>
        <w:spacing w:line="560" w:lineRule="exact"/>
        <w:ind w:firstLine="482" w:firstLineChars="201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举例说明：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若1号商铺选择面积为100平方米，2号商铺可选择的面积为50-110平方米。计算方式250（总面积）-100（1号铺面积）-20（3号铺最低面积）-20（4号铺最低面积）=110平方米；若1号商铺选择面积为150平方米，2号商铺可选择的面积为50-60平方米。计算方式250（总面积）-150（1号铺面积）-20（3号铺最低面积）-20（4号铺最低面积）=60平方米。</w:t>
      </w:r>
    </w:p>
    <w:p w14:paraId="1C0AF144">
      <w:pPr>
        <w:snapToGrid w:val="0"/>
        <w:spacing w:line="560" w:lineRule="exact"/>
        <w:ind w:firstLine="484" w:firstLineChars="201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4.招租价格：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本次招租项目对单价进行竞标</w:t>
      </w:r>
    </w:p>
    <w:tbl>
      <w:tblPr>
        <w:tblStyle w:val="4"/>
        <w:tblpPr w:leftFromText="180" w:rightFromText="180" w:vertAnchor="text" w:horzAnchor="page" w:tblpX="2086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323"/>
        <w:gridCol w:w="2382"/>
        <w:gridCol w:w="2065"/>
        <w:gridCol w:w="2060"/>
      </w:tblGrid>
      <w:tr w14:paraId="2542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2" w:type="dxa"/>
            <w:noWrap w:val="0"/>
            <w:vAlign w:val="center"/>
          </w:tcPr>
          <w:p w14:paraId="18FFE6FA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30" w:type="dxa"/>
            <w:noWrap w:val="0"/>
            <w:vAlign w:val="center"/>
          </w:tcPr>
          <w:p w14:paraId="35DCF38C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商铺号</w:t>
            </w:r>
          </w:p>
        </w:tc>
        <w:tc>
          <w:tcPr>
            <w:tcW w:w="2394" w:type="dxa"/>
            <w:noWrap w:val="0"/>
            <w:vAlign w:val="center"/>
          </w:tcPr>
          <w:p w14:paraId="554FFEE3">
            <w:pPr>
              <w:snapToGrid w:val="0"/>
              <w:spacing w:line="560" w:lineRule="exact"/>
              <w:ind w:firstLine="482" w:firstLineChars="201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经营项目</w:t>
            </w:r>
          </w:p>
        </w:tc>
        <w:tc>
          <w:tcPr>
            <w:tcW w:w="2071" w:type="dxa"/>
            <w:noWrap w:val="0"/>
            <w:vAlign w:val="center"/>
          </w:tcPr>
          <w:p w14:paraId="5DD12D39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起租（元/m²·天）</w:t>
            </w:r>
          </w:p>
        </w:tc>
        <w:tc>
          <w:tcPr>
            <w:tcW w:w="2071" w:type="dxa"/>
            <w:noWrap w:val="0"/>
            <w:vAlign w:val="center"/>
          </w:tcPr>
          <w:p w14:paraId="56E05628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411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12" w:type="dxa"/>
            <w:noWrap w:val="0"/>
            <w:vAlign w:val="center"/>
          </w:tcPr>
          <w:p w14:paraId="59FEA26A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 w14:paraId="27D9615B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1号</w:t>
            </w:r>
          </w:p>
        </w:tc>
        <w:tc>
          <w:tcPr>
            <w:tcW w:w="2394" w:type="dxa"/>
            <w:noWrap w:val="0"/>
            <w:vAlign w:val="center"/>
          </w:tcPr>
          <w:p w14:paraId="0FEE4AA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西餐简餐店</w:t>
            </w:r>
          </w:p>
        </w:tc>
        <w:tc>
          <w:tcPr>
            <w:tcW w:w="2071" w:type="dxa"/>
            <w:noWrap w:val="0"/>
            <w:vAlign w:val="center"/>
          </w:tcPr>
          <w:p w14:paraId="21843138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  <w:tc>
          <w:tcPr>
            <w:tcW w:w="2071" w:type="dxa"/>
            <w:vMerge w:val="restart"/>
            <w:noWrap w:val="0"/>
            <w:vAlign w:val="bottom"/>
          </w:tcPr>
          <w:p w14:paraId="2B1185C9">
            <w:pPr>
              <w:snapToGrid w:val="0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成交后，按照成交价格及实际最终使用面积，每年以365天计算年租金价格。</w:t>
            </w:r>
          </w:p>
        </w:tc>
      </w:tr>
      <w:tr w14:paraId="43E2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12" w:type="dxa"/>
            <w:noWrap w:val="0"/>
            <w:vAlign w:val="center"/>
          </w:tcPr>
          <w:p w14:paraId="3A8C87A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30" w:type="dxa"/>
            <w:noWrap w:val="0"/>
            <w:vAlign w:val="center"/>
          </w:tcPr>
          <w:p w14:paraId="04D296D5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2号</w:t>
            </w:r>
          </w:p>
        </w:tc>
        <w:tc>
          <w:tcPr>
            <w:tcW w:w="2394" w:type="dxa"/>
            <w:noWrap w:val="0"/>
            <w:vAlign w:val="center"/>
          </w:tcPr>
          <w:p w14:paraId="6DC53E20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中餐简餐店</w:t>
            </w:r>
          </w:p>
        </w:tc>
        <w:tc>
          <w:tcPr>
            <w:tcW w:w="2071" w:type="dxa"/>
            <w:noWrap w:val="0"/>
            <w:vAlign w:val="center"/>
          </w:tcPr>
          <w:p w14:paraId="1253DB6C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  <w:tc>
          <w:tcPr>
            <w:tcW w:w="2071" w:type="dxa"/>
            <w:vMerge w:val="continue"/>
            <w:noWrap w:val="0"/>
            <w:vAlign w:val="bottom"/>
          </w:tcPr>
          <w:p w14:paraId="7ADBB331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7EE3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2" w:type="dxa"/>
            <w:noWrap w:val="0"/>
            <w:vAlign w:val="center"/>
          </w:tcPr>
          <w:p w14:paraId="77CB7A5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 w14:paraId="07717BC9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3号</w:t>
            </w:r>
          </w:p>
        </w:tc>
        <w:tc>
          <w:tcPr>
            <w:tcW w:w="2394" w:type="dxa"/>
            <w:noWrap w:val="0"/>
            <w:vAlign w:val="center"/>
          </w:tcPr>
          <w:p w14:paraId="68B727BB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饮品店</w:t>
            </w:r>
          </w:p>
        </w:tc>
        <w:tc>
          <w:tcPr>
            <w:tcW w:w="2071" w:type="dxa"/>
            <w:noWrap w:val="0"/>
            <w:vAlign w:val="center"/>
          </w:tcPr>
          <w:p w14:paraId="36ADF868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1.7</w:t>
            </w:r>
          </w:p>
        </w:tc>
        <w:tc>
          <w:tcPr>
            <w:tcW w:w="2071" w:type="dxa"/>
            <w:vMerge w:val="continue"/>
            <w:noWrap w:val="0"/>
            <w:vAlign w:val="bottom"/>
          </w:tcPr>
          <w:p w14:paraId="28163B11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3F00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2" w:type="dxa"/>
            <w:noWrap w:val="0"/>
            <w:vAlign w:val="center"/>
          </w:tcPr>
          <w:p w14:paraId="1DFC0129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 w14:paraId="1D7F1CE7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4号</w:t>
            </w:r>
          </w:p>
        </w:tc>
        <w:tc>
          <w:tcPr>
            <w:tcW w:w="2394" w:type="dxa"/>
            <w:noWrap w:val="0"/>
            <w:vAlign w:val="center"/>
          </w:tcPr>
          <w:p w14:paraId="768F97E6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理发店</w:t>
            </w:r>
          </w:p>
        </w:tc>
        <w:tc>
          <w:tcPr>
            <w:tcW w:w="2071" w:type="dxa"/>
            <w:noWrap w:val="0"/>
            <w:vAlign w:val="center"/>
          </w:tcPr>
          <w:p w14:paraId="13FCD98F">
            <w:pPr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2.3</w:t>
            </w:r>
          </w:p>
        </w:tc>
        <w:tc>
          <w:tcPr>
            <w:tcW w:w="2071" w:type="dxa"/>
            <w:vMerge w:val="continue"/>
            <w:noWrap w:val="0"/>
            <w:vAlign w:val="bottom"/>
          </w:tcPr>
          <w:p w14:paraId="517F4EF3">
            <w:pPr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</w:tbl>
    <w:p w14:paraId="3BD49B70">
      <w:pPr>
        <w:snapToGrid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6625688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5.经营期限：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经营期限为三年，合同每年签订一次，三年引进期限满后按规定重新组织招标。</w:t>
      </w:r>
    </w:p>
    <w:p w14:paraId="6B549FDC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二、管理及服务要求</w:t>
      </w:r>
    </w:p>
    <w:p w14:paraId="3752DF5F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进驻商户不得违反国家相关法律法规及校区相关规定，服从学校统一监督、检查和管理。校区定期对商户进行考评，评价内容包括安全、卫生、进货渠道、货品（服务）质量、师生满意度等，考核评价采取调查问卷、网评、定期检查和临时抽查等方式，评价结果将作为商户能否继续在学校从事服务工作的重要依据。</w:t>
      </w:r>
    </w:p>
    <w:p w14:paraId="31B16BC8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2.进驻商户须在中标后的30天内取得相关营业执照及行业许可等，从业人员须满足行业相关要求。</w:t>
      </w:r>
    </w:p>
    <w:p w14:paraId="7B68A3F3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竞租成功后不得改变竞租时填报的经营类别。须在入驻前向招标人（学校）提交通风、排烟等商铺装修、装饰方案，方案须符合食品安全、消防安全及教育行业等相关规范、要求，方案经招标人审核通过并出具书面确认意见后，方可实施装修及办理入驻手续；新增大型设备、设施等需要提前报学校相关管理部门审批，审批通过后方可实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364AC882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4.经营商铺内严禁使用液化气罐、天然气等明火。</w:t>
      </w:r>
    </w:p>
    <w:p w14:paraId="23BDE0C5">
      <w:pPr>
        <w:snapToGrid w:val="0"/>
        <w:spacing w:line="560" w:lineRule="exact"/>
        <w:ind w:firstLine="484" w:firstLineChars="201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5.项目场地在公寓楼负一层，为保证周边生活环境，经营项目请选择没有油烟或油烟产生较少的项目。</w:t>
      </w:r>
    </w:p>
    <w:p w14:paraId="1CF42FE6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6.竞租人成功竞租的，需向招租人缴纳¥20000.00（贰万元）的成交保证金。签订合作协议后，成交保证金转为履约保证金；不能如期签订合作协议的承租人，成交保证金不予退还。</w:t>
      </w:r>
    </w:p>
    <w:p w14:paraId="4E4E9711">
      <w:pPr>
        <w:snapToGrid w:val="0"/>
        <w:spacing w:line="560" w:lineRule="exact"/>
        <w:ind w:firstLine="484" w:firstLineChars="20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三、相关费用的说明</w:t>
      </w:r>
    </w:p>
    <w:p w14:paraId="02B34268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1.承租方自行承担经营区域内的水、电、暖气费用，收费标准为：水费4.7元/立方米，电费1.00元/度，暖气费计算方式如下：</w:t>
      </w:r>
    </w:p>
    <w:p w14:paraId="2EED9C2D">
      <w:pPr>
        <w:adjustRightInd w:val="0"/>
        <w:snapToGrid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商户暖气费＝租赁商铺面积×33.9元/平方米× </w:t>
      </w:r>
      <w:r>
        <w:rPr>
          <w:rFonts w:hint="eastAsia" w:ascii="宋体" w:hAnsi="宋体" w:cs="宋体"/>
          <w:color w:val="auto"/>
          <w:position w:val="-26"/>
          <w:sz w:val="24"/>
          <w:szCs w:val="24"/>
        </w:rPr>
        <w:object>
          <v:shape id="_x0000_i1025" o:spt="75" type="#_x0000_t75" style="height:34.1pt;width:67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cs="宋体"/>
          <w:color w:val="auto"/>
          <w:sz w:val="24"/>
          <w:szCs w:val="24"/>
        </w:rPr>
        <w:t xml:space="preserve"> ÷0.7（收费标准随威海市水电暖价格浮动而相应调整）</w:t>
      </w:r>
      <w:r>
        <w:rPr>
          <w:rFonts w:ascii="宋体" w:hAnsi="宋体" w:cs="宋体"/>
          <w:color w:val="auto"/>
          <w:sz w:val="24"/>
          <w:szCs w:val="24"/>
        </w:rPr>
        <w:t>。</w:t>
      </w:r>
    </w:p>
    <w:p w14:paraId="3BFE611B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2.所有租赁区域内维修、维护、保洁等费用由商户自行承担。</w:t>
      </w:r>
    </w:p>
    <w:p w14:paraId="1B6556D6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四、出现下列情况或行为将不能够继续在校内进行经营服务</w:t>
      </w:r>
    </w:p>
    <w:p w14:paraId="3E01F71D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1.有违反国家相关法律法规规定行为的；</w:t>
      </w:r>
    </w:p>
    <w:p w14:paraId="0645170C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2.出现安全事件或事故（消防安全、生产和设备安全、人员安全等）情节严重或造成一定损失（影响）的；</w:t>
      </w:r>
    </w:p>
    <w:p w14:paraId="305363FC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3.将房屋（场地）转包或转租他人的；</w:t>
      </w:r>
    </w:p>
    <w:p w14:paraId="3DCFE522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4.擅自改变经营范围、经营性质或房屋用途的；</w:t>
      </w:r>
    </w:p>
    <w:p w14:paraId="4C4065D4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5.未按时上交相关费用，经催告仍不能在规定时间内上交的；</w:t>
      </w:r>
    </w:p>
    <w:p w14:paraId="18736B5A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6.经营中存在欺诈行为或不诚信经营（以次充好、经营假冒伪劣品等）的；</w:t>
      </w:r>
    </w:p>
    <w:p w14:paraId="75EE1DFD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7.存在恶性竞争行为或利用信件、网络等方式传播不实信息，造谣或诋毁他人的；辱骂侮辱师生、员工，或发生打架斗殴等事件的；</w:t>
      </w:r>
    </w:p>
    <w:p w14:paraId="03979FEB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8.工作时间饮酒或饮酒后上岗工作的；</w:t>
      </w:r>
    </w:p>
    <w:p w14:paraId="302679A4">
      <w:pPr>
        <w:snapToGrid w:val="0"/>
        <w:spacing w:line="560" w:lineRule="exact"/>
        <w:ind w:firstLine="482" w:firstLineChars="20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9.接到校区管理人员下达的整改通知后，拒不整改的或不服从校区监督管理的；</w:t>
      </w:r>
    </w:p>
    <w:p w14:paraId="644DB916">
      <w:pPr>
        <w:snapToGrid w:val="0"/>
        <w:spacing w:line="560" w:lineRule="exact"/>
        <w:ind w:firstLine="482" w:firstLineChars="201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10.出现其他不当行为，在师生中反响恶劣或给学校带来不良影响的。</w:t>
      </w:r>
    </w:p>
    <w:p w14:paraId="739D3150">
      <w:pPr>
        <w:rPr>
          <w:color w:val="auto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0568A"/>
    <w:rsid w:val="059A489A"/>
    <w:rsid w:val="124B6804"/>
    <w:rsid w:val="21811559"/>
    <w:rsid w:val="3410251B"/>
    <w:rsid w:val="35F128DC"/>
    <w:rsid w:val="388615CF"/>
    <w:rsid w:val="3E5668DC"/>
    <w:rsid w:val="3F631F69"/>
    <w:rsid w:val="464B6860"/>
    <w:rsid w:val="47F84AE8"/>
    <w:rsid w:val="483978F2"/>
    <w:rsid w:val="4B0426C5"/>
    <w:rsid w:val="4BA86685"/>
    <w:rsid w:val="53F72FDF"/>
    <w:rsid w:val="550F219E"/>
    <w:rsid w:val="59C12359"/>
    <w:rsid w:val="5BE2180E"/>
    <w:rsid w:val="5D365AD0"/>
    <w:rsid w:val="5DE0568A"/>
    <w:rsid w:val="62D612A6"/>
    <w:rsid w:val="6528296D"/>
    <w:rsid w:val="69B10C5F"/>
    <w:rsid w:val="71270FB3"/>
    <w:rsid w:val="72BB7189"/>
    <w:rsid w:val="73C11E4D"/>
    <w:rsid w:val="7B57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2025-09-17T02:15:00Z</dcterms:created>
  <dc:creator>知了</dc:creator>
  <cp:lastModifiedBy>知了</cp:lastModifiedBy>
  <dcterms:modified xsi:type="dcterms:W3CDTF">2025-09-17T02:19:31Z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A95D0C6F56184A8B8ED1C8587D147168_13</vt:lpwstr>
  </property>
  <property fmtid="{D5CDD505-2E9C-101B-9397-08002B2CF9AE}" pid="4" name="KSOTemplateDocerSaveRecord">
    <vt:lpwstr>eyJoZGlkIjoiNjk1ZDA2MjMzYWQxNmYxZTU4OWY0M2E4ZGI4YTEzYjEiLCJ1c2VySWQiOiI4NjM3MjYxMzkifQ==</vt:lpwstr>
  </property>
</Properties>
</file>