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1D166">
      <w:pPr>
        <w:ind w:firstLine="480"/>
        <w:jc w:val="both"/>
        <w:rPr>
          <w:rFonts w:hint="eastAsia" w:ascii="仿宋" w:hAnsi="仿宋" w:eastAsia="仿宋" w:cs="仿宋"/>
          <w:b/>
          <w:bCs w:val="0"/>
          <w:color w:val="000000"/>
          <w:sz w:val="30"/>
          <w:szCs w:val="30"/>
          <w:highlight w:val="none"/>
          <w:lang w:val="en-US" w:eastAsia="zh-CN"/>
        </w:rPr>
      </w:pPr>
      <w:r>
        <w:rPr>
          <w:rFonts w:hint="eastAsia" w:ascii="仿宋" w:hAnsi="仿宋" w:eastAsia="仿宋" w:cs="仿宋"/>
          <w:b/>
          <w:bCs w:val="0"/>
          <w:color w:val="000000"/>
          <w:sz w:val="30"/>
          <w:szCs w:val="30"/>
          <w:highlight w:val="none"/>
          <w:lang w:val="en-US" w:eastAsia="zh-CN"/>
        </w:rPr>
        <w:t>附件：</w:t>
      </w:r>
    </w:p>
    <w:p w14:paraId="4327F69E">
      <w:pPr>
        <w:ind w:firstLine="480"/>
        <w:jc w:val="both"/>
        <w:rPr>
          <w:rFonts w:hint="eastAsia" w:ascii="仿宋" w:hAnsi="仿宋" w:eastAsia="仿宋" w:cs="仿宋"/>
          <w:b w:val="0"/>
          <w:bCs/>
          <w:color w:val="000000"/>
          <w:sz w:val="30"/>
          <w:szCs w:val="30"/>
          <w:highlight w:val="none"/>
          <w:lang w:val="en-US" w:eastAsia="zh-CN"/>
        </w:rPr>
      </w:pPr>
      <w:r>
        <w:rPr>
          <w:rFonts w:hint="eastAsia" w:ascii="仿宋" w:hAnsi="仿宋" w:eastAsia="仿宋" w:cs="仿宋"/>
          <w:b/>
          <w:bCs w:val="0"/>
          <w:color w:val="000000"/>
          <w:sz w:val="30"/>
          <w:szCs w:val="30"/>
          <w:highlight w:val="none"/>
        </w:rPr>
        <w:t>一、项目名称：</w:t>
      </w:r>
      <w:r>
        <w:rPr>
          <w:rFonts w:hint="eastAsia" w:ascii="仿宋" w:hAnsi="仿宋" w:eastAsia="仿宋" w:cs="仿宋"/>
          <w:b w:val="0"/>
          <w:bCs/>
          <w:color w:val="000000"/>
          <w:sz w:val="30"/>
          <w:szCs w:val="30"/>
          <w:highlight w:val="none"/>
          <w:lang w:val="en-US" w:eastAsia="zh-CN"/>
        </w:rPr>
        <w:t>哈尔滨工业大学（威海）学生公寓自助售卖机引进服务项目</w:t>
      </w:r>
    </w:p>
    <w:p w14:paraId="1818706F">
      <w:pPr>
        <w:ind w:firstLine="480"/>
        <w:jc w:val="both"/>
        <w:rPr>
          <w:rFonts w:hint="eastAsia" w:ascii="仿宋" w:hAnsi="仿宋" w:eastAsia="仿宋" w:cs="仿宋"/>
          <w:b/>
          <w:bCs w:val="0"/>
          <w:color w:val="000000"/>
          <w:sz w:val="30"/>
          <w:szCs w:val="30"/>
          <w:highlight w:val="none"/>
          <w:lang w:val="en-US" w:eastAsia="zh-CN"/>
        </w:rPr>
      </w:pPr>
      <w:r>
        <w:rPr>
          <w:rFonts w:hint="eastAsia" w:ascii="仿宋" w:hAnsi="仿宋" w:eastAsia="仿宋" w:cs="仿宋"/>
          <w:b/>
          <w:bCs w:val="0"/>
          <w:color w:val="000000"/>
          <w:sz w:val="30"/>
          <w:szCs w:val="30"/>
          <w:highlight w:val="none"/>
          <w:lang w:val="en-US" w:eastAsia="zh-CN"/>
        </w:rPr>
        <w:t>二</w:t>
      </w:r>
      <w:r>
        <w:rPr>
          <w:rFonts w:hint="eastAsia" w:ascii="仿宋" w:hAnsi="仿宋" w:eastAsia="仿宋" w:cs="仿宋"/>
          <w:b/>
          <w:bCs w:val="0"/>
          <w:color w:val="000000"/>
          <w:sz w:val="30"/>
          <w:szCs w:val="30"/>
          <w:highlight w:val="none"/>
        </w:rPr>
        <w:t>、</w:t>
      </w:r>
      <w:r>
        <w:rPr>
          <w:rFonts w:hint="eastAsia" w:ascii="仿宋" w:hAnsi="仿宋" w:eastAsia="仿宋" w:cs="仿宋"/>
          <w:b/>
          <w:bCs w:val="0"/>
          <w:color w:val="000000"/>
          <w:sz w:val="30"/>
          <w:szCs w:val="30"/>
          <w:highlight w:val="none"/>
          <w:lang w:val="en-US" w:eastAsia="zh-CN"/>
        </w:rPr>
        <w:t>项目概况</w:t>
      </w:r>
    </w:p>
    <w:p w14:paraId="2B0E9E86">
      <w:pPr>
        <w:ind w:firstLine="480"/>
        <w:jc w:val="both"/>
        <w:rPr>
          <w:rFonts w:hint="eastAsia" w:ascii="仿宋" w:hAnsi="仿宋" w:eastAsia="仿宋" w:cs="仿宋"/>
          <w:b w:val="0"/>
          <w:bCs/>
          <w:color w:val="000000"/>
          <w:sz w:val="30"/>
          <w:szCs w:val="30"/>
          <w:highlight w:val="none"/>
          <w:lang w:val="en-US" w:eastAsia="zh-CN"/>
        </w:rPr>
      </w:pPr>
      <w:r>
        <w:rPr>
          <w:rFonts w:hint="eastAsia" w:ascii="仿宋" w:hAnsi="仿宋" w:eastAsia="仿宋" w:cs="仿宋"/>
          <w:b w:val="0"/>
          <w:bCs/>
          <w:color w:val="000000"/>
          <w:sz w:val="30"/>
          <w:szCs w:val="30"/>
          <w:highlight w:val="none"/>
          <w:lang w:val="en-US" w:eastAsia="zh-CN"/>
        </w:rPr>
        <w:t>哈尔滨工业大学（威海）1号/3号/13号/14号学生公寓合适位置摆放自助售卖机。</w:t>
      </w:r>
    </w:p>
    <w:p w14:paraId="5BCF8469">
      <w:pPr>
        <w:ind w:firstLine="480"/>
        <w:jc w:val="both"/>
        <w:rPr>
          <w:rFonts w:hint="eastAsia" w:ascii="仿宋" w:hAnsi="仿宋" w:eastAsia="仿宋" w:cs="仿宋"/>
          <w:b/>
          <w:bCs w:val="0"/>
          <w:color w:val="000000"/>
          <w:sz w:val="30"/>
          <w:szCs w:val="30"/>
          <w:highlight w:val="none"/>
          <w:lang w:eastAsia="zh-CN"/>
        </w:rPr>
      </w:pPr>
      <w:r>
        <w:rPr>
          <w:rFonts w:hint="eastAsia" w:ascii="仿宋" w:hAnsi="仿宋" w:eastAsia="仿宋" w:cs="仿宋"/>
          <w:b/>
          <w:bCs w:val="0"/>
          <w:color w:val="000000"/>
          <w:sz w:val="30"/>
          <w:szCs w:val="30"/>
          <w:highlight w:val="none"/>
          <w:lang w:val="en-US" w:eastAsia="zh-CN"/>
        </w:rPr>
        <w:t>三</w:t>
      </w:r>
      <w:r>
        <w:rPr>
          <w:rFonts w:hint="eastAsia" w:ascii="仿宋" w:hAnsi="仿宋" w:eastAsia="仿宋" w:cs="仿宋"/>
          <w:b/>
          <w:bCs w:val="0"/>
          <w:color w:val="000000"/>
          <w:sz w:val="30"/>
          <w:szCs w:val="30"/>
          <w:highlight w:val="none"/>
        </w:rPr>
        <w:t>、</w:t>
      </w:r>
      <w:r>
        <w:rPr>
          <w:rFonts w:hint="eastAsia" w:ascii="仿宋" w:hAnsi="仿宋" w:eastAsia="仿宋" w:cs="仿宋"/>
          <w:b/>
          <w:bCs w:val="0"/>
          <w:color w:val="000000"/>
          <w:sz w:val="30"/>
          <w:szCs w:val="30"/>
          <w:highlight w:val="none"/>
          <w:lang w:val="en-US" w:eastAsia="zh-CN"/>
        </w:rPr>
        <w:t>设备</w:t>
      </w:r>
      <w:r>
        <w:rPr>
          <w:rFonts w:hint="eastAsia" w:ascii="仿宋" w:hAnsi="仿宋" w:eastAsia="仿宋" w:cs="仿宋"/>
          <w:b/>
          <w:bCs w:val="0"/>
          <w:color w:val="000000"/>
          <w:sz w:val="30"/>
          <w:szCs w:val="30"/>
          <w:highlight w:val="none"/>
        </w:rPr>
        <w:t>技术指标要求</w:t>
      </w:r>
      <w:r>
        <w:rPr>
          <w:rFonts w:hint="eastAsia" w:ascii="仿宋" w:hAnsi="仿宋" w:eastAsia="仿宋" w:cs="仿宋"/>
          <w:b/>
          <w:bCs w:val="0"/>
          <w:color w:val="000000"/>
          <w:sz w:val="30"/>
          <w:szCs w:val="30"/>
          <w:highlight w:val="none"/>
          <w:lang w:eastAsia="zh-CN"/>
        </w:rPr>
        <w:t>：</w:t>
      </w:r>
    </w:p>
    <w:p w14:paraId="0F0C0EA3">
      <w:pPr>
        <w:ind w:firstLine="480"/>
        <w:jc w:val="both"/>
        <w:rPr>
          <w:rFonts w:hint="eastAsia" w:ascii="仿宋" w:hAnsi="仿宋" w:eastAsia="仿宋" w:cs="仿宋"/>
          <w:b w:val="0"/>
          <w:bCs/>
          <w:color w:val="000000"/>
          <w:sz w:val="30"/>
          <w:szCs w:val="30"/>
          <w:highlight w:val="none"/>
          <w:lang w:val="en-US" w:eastAsia="zh-CN"/>
        </w:rPr>
      </w:pPr>
      <w:r>
        <w:rPr>
          <w:rFonts w:hint="eastAsia" w:ascii="仿宋" w:hAnsi="仿宋" w:eastAsia="仿宋" w:cs="仿宋"/>
          <w:b w:val="0"/>
          <w:bCs/>
          <w:color w:val="000000"/>
          <w:sz w:val="30"/>
          <w:szCs w:val="30"/>
          <w:highlight w:val="none"/>
          <w:lang w:val="en-US" w:eastAsia="zh-CN"/>
        </w:rPr>
        <w:t>1.24小时自动零售，安全性高。售卖的食品需要符合国标，不得售卖半成品，不得有现场加工食物，不得售卖自加工食品，不得售卖过期或临期食品（临期食品定义：根据《食品安全国家标准 预包装食品标签通则》（GB 7718-2011）和市场监管总局的指导，临期食品的界定通常按保质期长短划分：保质期≥1年：临期期为到期前45天（如罐头、饼干等）；6个月≤保质期＜1年：临期期为到期前20天（如方便面、坚果等）；90天≤保质期＜6个月：临期期为到期前15天（如部分冷藏食品）；30天≤保质期＜90天：临期期为到期前10天（如短保面包、鲜奶等）；保质期＜30天：临期期为到期前5天（如短保糕点、生鲜等）。</w:t>
      </w:r>
    </w:p>
    <w:p w14:paraId="5C9A47C6">
      <w:pPr>
        <w:ind w:firstLine="480"/>
        <w:jc w:val="both"/>
        <w:rPr>
          <w:rFonts w:hint="eastAsia" w:ascii="仿宋" w:hAnsi="仿宋" w:eastAsia="仿宋" w:cs="仿宋"/>
          <w:b w:val="0"/>
          <w:bCs/>
          <w:color w:val="000000"/>
          <w:sz w:val="30"/>
          <w:szCs w:val="30"/>
          <w:highlight w:val="none"/>
          <w:lang w:val="en-US" w:eastAsia="zh-CN"/>
        </w:rPr>
      </w:pPr>
      <w:r>
        <w:rPr>
          <w:rFonts w:hint="eastAsia" w:ascii="仿宋" w:hAnsi="仿宋" w:eastAsia="仿宋" w:cs="仿宋"/>
          <w:b w:val="0"/>
          <w:bCs/>
          <w:color w:val="000000"/>
          <w:sz w:val="30"/>
          <w:szCs w:val="30"/>
          <w:highlight w:val="none"/>
          <w:lang w:val="en-US" w:eastAsia="zh-CN"/>
        </w:rPr>
        <w:t>2.便捷支付：能够满足微信、支付宝、银联云闪付 刷脸支付 一卡通等支付功能。</w:t>
      </w:r>
    </w:p>
    <w:p w14:paraId="383880D3">
      <w:pPr>
        <w:ind w:firstLine="480"/>
        <w:jc w:val="both"/>
        <w:rPr>
          <w:rFonts w:hint="eastAsia" w:ascii="仿宋" w:hAnsi="仿宋" w:eastAsia="仿宋" w:cs="仿宋"/>
          <w:b/>
          <w:bCs w:val="0"/>
          <w:color w:val="000000"/>
          <w:sz w:val="30"/>
          <w:szCs w:val="30"/>
          <w:highlight w:val="none"/>
          <w:lang w:val="en-US" w:eastAsia="zh-CN"/>
        </w:rPr>
      </w:pPr>
      <w:r>
        <w:rPr>
          <w:rFonts w:hint="eastAsia" w:ascii="仿宋" w:hAnsi="仿宋" w:eastAsia="仿宋" w:cs="仿宋"/>
          <w:b w:val="0"/>
          <w:bCs/>
          <w:color w:val="000000"/>
          <w:sz w:val="30"/>
          <w:szCs w:val="30"/>
          <w:highlight w:val="none"/>
          <w:lang w:val="en-US" w:eastAsia="zh-CN"/>
        </w:rPr>
        <w:t>3.报价供应商结合踏勘现场的实际情况，可对投入设备的数量、放置位置进行优化布局设计。</w:t>
      </w:r>
      <w:r>
        <w:rPr>
          <w:rFonts w:hint="eastAsia" w:ascii="仿宋" w:hAnsi="仿宋" w:eastAsia="仿宋" w:cs="仿宋"/>
          <w:b/>
          <w:bCs w:val="0"/>
          <w:color w:val="000000"/>
          <w:sz w:val="30"/>
          <w:szCs w:val="30"/>
          <w:highlight w:val="none"/>
          <w:lang w:val="en-US" w:eastAsia="zh-CN"/>
        </w:rPr>
        <w:t>放置位置不得占用消防通道。具体投放方案需由供应商结合场地实际情况进行制定，并在响应文件中予以提供。</w:t>
      </w:r>
    </w:p>
    <w:p w14:paraId="5F0F79EB">
      <w:pPr>
        <w:ind w:firstLine="480"/>
        <w:jc w:val="both"/>
        <w:rPr>
          <w:rFonts w:hint="eastAsia" w:ascii="仿宋" w:hAnsi="仿宋" w:eastAsia="仿宋" w:cs="仿宋"/>
          <w:b/>
          <w:bCs w:val="0"/>
          <w:color w:val="000000"/>
          <w:sz w:val="30"/>
          <w:szCs w:val="30"/>
          <w:highlight w:val="none"/>
          <w:lang w:val="en-US" w:eastAsia="zh-CN"/>
        </w:rPr>
      </w:pPr>
      <w:r>
        <w:rPr>
          <w:rFonts w:hint="eastAsia" w:ascii="仿宋" w:hAnsi="仿宋" w:eastAsia="仿宋" w:cs="仿宋"/>
          <w:b/>
          <w:bCs w:val="0"/>
          <w:color w:val="000000"/>
          <w:sz w:val="30"/>
          <w:szCs w:val="30"/>
          <w:highlight w:val="none"/>
          <w:lang w:val="en-US" w:eastAsia="zh-CN"/>
        </w:rPr>
        <w:t>四、运营管理要求：</w:t>
      </w:r>
    </w:p>
    <w:p w14:paraId="6FC50349">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1.报价供应商负责自助售卖机运营管理及服务，负责设备的投放及安装、货物配送、商品的补货、设备的清洁、设备的维修等。本项目所涉及到的一切费用由报价供应商承担。</w:t>
      </w:r>
    </w:p>
    <w:p w14:paraId="741BFC54">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2.报价供应商必须合法合规经营，独立运营、独立核算、自负盈亏，不得超范围经营，不得转包、分包。如报价供应商违法或违规经营，校方按约定终止合同，一切损失由报价供应商自行承担。</w:t>
      </w:r>
    </w:p>
    <w:p w14:paraId="70AC299C">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报价供应商严格监管商品采购和质量管理。关注商品的生产日期和质量，安排专职人员定期巡查各台自助售卖机，清楚详细了解各种商品的售卖情况，及时报告空缺情况，对即将过期或临期商品进行即时下架处理。报价供应商自行承担运营过程中的商品质量、设备安全、服务质量、清洁卫生等相关责任。</w:t>
      </w:r>
    </w:p>
    <w:p w14:paraId="17C532B2">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4.报价供应商提供的自动销售设备及销售的商品必须符合相关国家标准和行业标准，所使用一切商品均须符合国家、省、市食品卫生法律法规等的相关要求并确保在保质期内，严禁销售过期商品。</w:t>
      </w:r>
    </w:p>
    <w:p w14:paraId="0336953C">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师生按约定对报价供应商运营过程进行监督，如发现所供商品中有任何异常情况，按约定要求报价供应商对此作出解释。必要时，校方按约定对报价供应商终止合同并提出索赔，同时上报有关部门按相关法律法规执行。为方便师生进行意见反馈，报价供应商设备程序须有意见箱板块功能，报价供应商根据线上反馈信息进行整理分类，对产品结构及服务等进行调整。</w:t>
      </w:r>
    </w:p>
    <w:p w14:paraId="6007C59C">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6.报价供应商根据学生的需要和季节的变换，及时调整商品的种类结构。</w:t>
      </w:r>
    </w:p>
    <w:p w14:paraId="072CF9D3">
      <w:pPr>
        <w:numPr>
          <w:ilvl w:val="0"/>
          <w:numId w:val="0"/>
        </w:numPr>
        <w:ind w:firstLine="602" w:firstLineChars="200"/>
        <w:jc w:val="both"/>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7.报价供应商需提供完整的供货方案，建议提供师生认可度高、品牌知名度高的商品，包括食品种类、品牌等内容。不接受品牌认可度低及单一品牌的商品。为充分满足师生需求，避免商品同质化，经营品类应丰富。具体供货方案需在响应文件中予以提供，供货方案是否通过由评审委员会</w:t>
      </w:r>
      <w:r>
        <w:rPr>
          <w:rFonts w:hint="default" w:ascii="仿宋" w:hAnsi="仿宋" w:eastAsia="仿宋" w:cs="仿宋"/>
          <w:b/>
          <w:bCs/>
          <w:color w:val="auto"/>
          <w:sz w:val="30"/>
          <w:szCs w:val="30"/>
          <w:highlight w:val="none"/>
          <w:lang w:val="en-US" w:eastAsia="zh-CN"/>
        </w:rPr>
        <w:t>成员</w:t>
      </w:r>
      <w:r>
        <w:rPr>
          <w:rFonts w:hint="eastAsia" w:ascii="仿宋" w:hAnsi="仿宋" w:eastAsia="仿宋" w:cs="仿宋"/>
          <w:b/>
          <w:bCs/>
          <w:color w:val="auto"/>
          <w:sz w:val="30"/>
          <w:szCs w:val="30"/>
          <w:highlight w:val="none"/>
          <w:lang w:val="en-US" w:eastAsia="zh-CN"/>
        </w:rPr>
        <w:t>按照评审原则独立进行投票，最终根据投票结果</w:t>
      </w:r>
      <w:r>
        <w:rPr>
          <w:rFonts w:hint="default" w:ascii="仿宋" w:hAnsi="仿宋" w:eastAsia="仿宋" w:cs="仿宋"/>
          <w:b/>
          <w:bCs/>
          <w:color w:val="auto"/>
          <w:sz w:val="30"/>
          <w:szCs w:val="30"/>
          <w:highlight w:val="none"/>
          <w:lang w:val="en-US" w:eastAsia="zh-CN"/>
        </w:rPr>
        <w:t>按照少数服从多数的原则作出结论。</w:t>
      </w:r>
    </w:p>
    <w:p w14:paraId="2534CEF6">
      <w:pPr>
        <w:ind w:firstLine="480"/>
        <w:jc w:val="both"/>
        <w:rPr>
          <w:rFonts w:hint="eastAsia" w:ascii="仿宋" w:hAnsi="仿宋" w:eastAsia="仿宋" w:cs="仿宋"/>
          <w:b/>
          <w:bCs w:val="0"/>
          <w:color w:val="000000"/>
          <w:sz w:val="30"/>
          <w:szCs w:val="30"/>
          <w:highlight w:val="none"/>
          <w:lang w:val="en-US" w:eastAsia="zh-CN"/>
        </w:rPr>
      </w:pPr>
      <w:r>
        <w:rPr>
          <w:rFonts w:hint="eastAsia" w:ascii="仿宋" w:hAnsi="仿宋" w:eastAsia="仿宋" w:cs="仿宋"/>
          <w:b/>
          <w:bCs w:val="0"/>
          <w:color w:val="000000"/>
          <w:sz w:val="30"/>
          <w:szCs w:val="30"/>
          <w:highlight w:val="none"/>
          <w:lang w:val="en-US" w:eastAsia="zh-CN"/>
        </w:rPr>
        <w:t>五、设备安全管理要求：</w:t>
      </w:r>
    </w:p>
    <w:p w14:paraId="75F48350">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报价供应商确保按照校方的需求及时安放自助售卖机，以确保食品的供应。报价供应商不得在未经校方同意的情况下擅自移动或搬走设备。报价供应商负责所提供设备的安全(防火、防电、防盗、卫生、防毒等)，并进行有效的管理。</w:t>
      </w:r>
    </w:p>
    <w:p w14:paraId="791B08F9">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2.报价供应商负责保证设备的正常工作。在经营期内每月定期必须对所有安装的设施设备进行维护和更新，并做好维修、检查记录，维修故障的及时解决。</w:t>
      </w:r>
    </w:p>
    <w:p w14:paraId="753B167C">
      <w:pPr>
        <w:numPr>
          <w:ilvl w:val="0"/>
          <w:numId w:val="0"/>
        </w:numPr>
        <w:ind w:firstLine="602" w:firstLineChars="200"/>
        <w:jc w:val="both"/>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a.当天 8:00—20:00之间购买商品出现异常情况，2小时内为师生解决；20:00—第二天8:00之间，12小时内为师生解决；</w:t>
      </w:r>
    </w:p>
    <w:p w14:paraId="76F3D547">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b．设备出现断电、门锁故障等12小时进行修复，保障设备正常运营；</w:t>
      </w:r>
    </w:p>
    <w:p w14:paraId="5BE69040">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c．设备离线故障，24小时内进行故障修复。</w:t>
      </w:r>
    </w:p>
    <w:p w14:paraId="405E8CFF">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如不能在24小时内解决问题的，校方按约定要求报价供应商更换全新的设备;若连续30天内相同情况发生三次及以上(包括三次)，校方按约定终止合同。</w:t>
      </w:r>
    </w:p>
    <w:p w14:paraId="0653F313">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3.报价供应商确保所提供的设备美观大方，未经校方允许不得在设备上作任何广告宣传，若连续30天内相同情况发生两次及以上(包括两次)，校方按约定终止合同。</w:t>
      </w:r>
    </w:p>
    <w:p w14:paraId="13A0308F">
      <w:pPr>
        <w:numPr>
          <w:ilvl w:val="0"/>
          <w:numId w:val="0"/>
        </w:numPr>
        <w:ind w:firstLine="602" w:firstLineChars="200"/>
        <w:jc w:val="both"/>
        <w:rPr>
          <w:rFonts w:hint="eastAsia" w:ascii="仿宋" w:hAnsi="仿宋" w:eastAsia="仿宋" w:cs="仿宋"/>
          <w:b/>
          <w:bCs/>
          <w:color w:val="000000"/>
          <w:kern w:val="2"/>
          <w:sz w:val="30"/>
          <w:szCs w:val="30"/>
          <w:highlight w:val="none"/>
          <w:lang w:val="en-US" w:eastAsia="zh-CN" w:bidi="ar-SA"/>
        </w:rPr>
      </w:pPr>
      <w:r>
        <w:rPr>
          <w:rFonts w:hint="eastAsia" w:ascii="仿宋" w:hAnsi="仿宋" w:eastAsia="仿宋" w:cs="仿宋"/>
          <w:b/>
          <w:bCs/>
          <w:color w:val="000000"/>
          <w:kern w:val="2"/>
          <w:sz w:val="30"/>
          <w:szCs w:val="30"/>
          <w:highlight w:val="none"/>
          <w:lang w:val="en-US" w:eastAsia="zh-CN" w:bidi="ar-SA"/>
        </w:rPr>
        <w:t>六、备货安装时间</w:t>
      </w:r>
    </w:p>
    <w:p w14:paraId="63D4431F">
      <w:pPr>
        <w:numPr>
          <w:ilvl w:val="0"/>
          <w:numId w:val="0"/>
        </w:numPr>
        <w:ind w:firstLine="600" w:firstLineChars="200"/>
        <w:jc w:val="both"/>
        <w:rPr>
          <w:rFonts w:hint="eastAsia" w:ascii="仿宋" w:hAnsi="仿宋" w:eastAsia="仿宋" w:cs="仿宋"/>
          <w:b/>
          <w:bCs/>
          <w:color w:val="auto"/>
          <w:sz w:val="30"/>
          <w:szCs w:val="30"/>
          <w:highlight w:val="none"/>
          <w:lang w:val="en-US" w:eastAsia="zh-CN"/>
        </w:rPr>
      </w:pPr>
      <w:r>
        <w:rPr>
          <w:rFonts w:hint="eastAsia" w:ascii="仿宋" w:hAnsi="仿宋" w:eastAsia="仿宋" w:cs="仿宋"/>
          <w:color w:val="auto"/>
          <w:sz w:val="30"/>
          <w:szCs w:val="30"/>
          <w:highlight w:val="none"/>
          <w:lang w:val="en-US" w:eastAsia="zh-CN"/>
        </w:rPr>
        <w:t>成交之日起15日内完成安装调试工作。</w:t>
      </w:r>
    </w:p>
    <w:p w14:paraId="0BF0D350">
      <w:pPr>
        <w:numPr>
          <w:ilvl w:val="0"/>
          <w:numId w:val="0"/>
        </w:numPr>
        <w:ind w:firstLine="602" w:firstLineChars="200"/>
        <w:jc w:val="both"/>
        <w:rPr>
          <w:rFonts w:hint="eastAsia" w:ascii="仿宋" w:hAnsi="仿宋" w:eastAsia="仿宋" w:cs="仿宋"/>
          <w:b/>
          <w:bCs/>
          <w:color w:val="auto"/>
          <w:sz w:val="30"/>
          <w:szCs w:val="30"/>
          <w:highlight w:val="none"/>
          <w:shd w:val="clear" w:color="auto" w:fill="auto"/>
        </w:rPr>
      </w:pPr>
      <w:r>
        <w:rPr>
          <w:rFonts w:hint="eastAsia" w:ascii="仿宋" w:hAnsi="仿宋" w:eastAsia="仿宋" w:cs="仿宋"/>
          <w:b/>
          <w:bCs/>
          <w:color w:val="auto"/>
          <w:sz w:val="30"/>
          <w:szCs w:val="30"/>
          <w:highlight w:val="none"/>
          <w:shd w:val="clear" w:color="auto" w:fill="auto"/>
          <w:lang w:val="en-US" w:eastAsia="zh-CN"/>
        </w:rPr>
        <w:t>七</w:t>
      </w:r>
      <w:r>
        <w:rPr>
          <w:rFonts w:hint="eastAsia" w:ascii="仿宋" w:hAnsi="仿宋" w:eastAsia="仿宋" w:cs="仿宋"/>
          <w:b/>
          <w:bCs/>
          <w:color w:val="auto"/>
          <w:sz w:val="30"/>
          <w:szCs w:val="30"/>
          <w:highlight w:val="none"/>
          <w:shd w:val="clear" w:color="auto" w:fill="auto"/>
        </w:rPr>
        <w:t>、</w:t>
      </w:r>
      <w:r>
        <w:rPr>
          <w:rFonts w:hint="eastAsia" w:ascii="仿宋" w:hAnsi="仿宋" w:eastAsia="仿宋" w:cs="仿宋"/>
          <w:b/>
          <w:bCs/>
          <w:color w:val="auto"/>
          <w:sz w:val="30"/>
          <w:szCs w:val="30"/>
          <w:highlight w:val="none"/>
          <w:shd w:val="clear" w:color="auto" w:fill="auto"/>
          <w:lang w:val="en-US" w:eastAsia="zh-CN"/>
        </w:rPr>
        <w:t>服务期</w:t>
      </w:r>
      <w:r>
        <w:rPr>
          <w:rFonts w:hint="eastAsia" w:ascii="仿宋" w:hAnsi="仿宋" w:eastAsia="仿宋" w:cs="仿宋"/>
          <w:b/>
          <w:bCs/>
          <w:color w:val="auto"/>
          <w:sz w:val="30"/>
          <w:szCs w:val="30"/>
          <w:highlight w:val="none"/>
          <w:shd w:val="clear" w:color="auto" w:fill="auto"/>
        </w:rPr>
        <w:t>：</w:t>
      </w:r>
    </w:p>
    <w:p w14:paraId="1C18FE12">
      <w:pPr>
        <w:numPr>
          <w:ilvl w:val="0"/>
          <w:numId w:val="0"/>
        </w:numPr>
        <w:ind w:firstLine="600" w:firstLineChars="200"/>
        <w:jc w:val="both"/>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服务期3</w:t>
      </w:r>
      <w:r>
        <w:rPr>
          <w:rFonts w:hint="eastAsia" w:ascii="仿宋" w:hAnsi="仿宋" w:eastAsia="仿宋" w:cs="仿宋"/>
          <w:color w:val="auto"/>
          <w:sz w:val="30"/>
          <w:szCs w:val="30"/>
          <w:highlight w:val="none"/>
        </w:rPr>
        <w:t>年。(服务期满后，如</w:t>
      </w:r>
      <w:r>
        <w:rPr>
          <w:rFonts w:hint="eastAsia" w:ascii="仿宋" w:hAnsi="仿宋" w:eastAsia="仿宋" w:cs="仿宋"/>
          <w:color w:val="auto"/>
          <w:sz w:val="30"/>
          <w:szCs w:val="30"/>
          <w:highlight w:val="none"/>
          <w:lang w:eastAsia="zh-CN"/>
        </w:rPr>
        <w:t>报价供应商</w:t>
      </w:r>
      <w:r>
        <w:rPr>
          <w:rFonts w:hint="eastAsia" w:ascii="仿宋" w:hAnsi="仿宋" w:eastAsia="仿宋" w:cs="仿宋"/>
          <w:color w:val="auto"/>
          <w:sz w:val="30"/>
          <w:szCs w:val="30"/>
          <w:highlight w:val="none"/>
        </w:rPr>
        <w:t>后续未中标此项目，</w:t>
      </w:r>
      <w:r>
        <w:rPr>
          <w:rFonts w:hint="eastAsia" w:ascii="仿宋" w:hAnsi="仿宋" w:eastAsia="仿宋" w:cs="仿宋"/>
          <w:color w:val="auto"/>
          <w:sz w:val="30"/>
          <w:szCs w:val="30"/>
          <w:highlight w:val="none"/>
          <w:lang w:eastAsia="zh-CN"/>
        </w:rPr>
        <w:t>报价供应商</w:t>
      </w:r>
      <w:r>
        <w:rPr>
          <w:rFonts w:hint="eastAsia" w:ascii="仿宋" w:hAnsi="仿宋" w:eastAsia="仿宋" w:cs="仿宋"/>
          <w:color w:val="auto"/>
          <w:sz w:val="30"/>
          <w:szCs w:val="30"/>
          <w:highlight w:val="none"/>
        </w:rPr>
        <w:t>需在接到</w:t>
      </w:r>
      <w:r>
        <w:rPr>
          <w:rFonts w:hint="eastAsia" w:ascii="仿宋" w:hAnsi="仿宋" w:eastAsia="仿宋" w:cs="仿宋"/>
          <w:color w:val="auto"/>
          <w:sz w:val="30"/>
          <w:szCs w:val="30"/>
          <w:highlight w:val="none"/>
          <w:lang w:val="en-US" w:eastAsia="zh-CN"/>
        </w:rPr>
        <w:t>采购人</w:t>
      </w:r>
      <w:r>
        <w:rPr>
          <w:rFonts w:hint="eastAsia" w:ascii="仿宋" w:hAnsi="仿宋" w:eastAsia="仿宋" w:cs="仿宋"/>
          <w:color w:val="auto"/>
          <w:sz w:val="30"/>
          <w:szCs w:val="30"/>
          <w:highlight w:val="none"/>
        </w:rPr>
        <w:t>通知后7天内无条件完成全部设备撤场工作。</w:t>
      </w:r>
      <w:r>
        <w:rPr>
          <w:rFonts w:hint="eastAsia" w:ascii="仿宋" w:hAnsi="仿宋" w:eastAsia="仿宋" w:cs="仿宋"/>
          <w:color w:val="auto"/>
          <w:sz w:val="30"/>
          <w:szCs w:val="30"/>
          <w:highlight w:val="none"/>
          <w:lang w:eastAsia="zh-CN"/>
        </w:rPr>
        <w:t>）</w:t>
      </w:r>
    </w:p>
    <w:p w14:paraId="2658ECB9">
      <w:pPr>
        <w:numPr>
          <w:ilvl w:val="0"/>
          <w:numId w:val="0"/>
        </w:numPr>
        <w:ind w:firstLine="602" w:firstLineChars="200"/>
        <w:jc w:val="both"/>
        <w:rPr>
          <w:rFonts w:hint="eastAsia" w:ascii="仿宋" w:hAnsi="仿宋" w:eastAsia="仿宋" w:cs="仿宋"/>
          <w:b/>
          <w:bCs/>
          <w:color w:val="auto"/>
          <w:sz w:val="30"/>
          <w:szCs w:val="30"/>
          <w:highlight w:val="none"/>
          <w:shd w:val="clear" w:color="auto" w:fill="auto"/>
          <w:lang w:val="en-US" w:eastAsia="zh-CN"/>
        </w:rPr>
      </w:pPr>
      <w:r>
        <w:rPr>
          <w:rFonts w:hint="eastAsia" w:ascii="仿宋" w:hAnsi="仿宋" w:eastAsia="仿宋" w:cs="仿宋"/>
          <w:b/>
          <w:bCs/>
          <w:color w:val="auto"/>
          <w:sz w:val="30"/>
          <w:szCs w:val="30"/>
          <w:highlight w:val="none"/>
          <w:shd w:val="clear" w:color="auto" w:fill="auto"/>
          <w:lang w:val="en-US" w:eastAsia="zh-CN"/>
        </w:rPr>
        <w:t>八、服务管理费：</w:t>
      </w:r>
    </w:p>
    <w:p w14:paraId="4FFA7B6F">
      <w:pPr>
        <w:numPr>
          <w:ilvl w:val="0"/>
          <w:numId w:val="0"/>
        </w:numPr>
        <w:ind w:firstLine="602" w:firstLineChars="200"/>
        <w:jc w:val="both"/>
        <w:rPr>
          <w:rFonts w:hint="eastAsia" w:ascii="仿宋" w:hAnsi="仿宋" w:eastAsia="仿宋" w:cs="仿宋"/>
          <w:b/>
          <w:bCs/>
          <w:color w:val="auto"/>
          <w:sz w:val="30"/>
          <w:szCs w:val="30"/>
          <w:highlight w:val="none"/>
          <w:shd w:val="clear" w:color="auto" w:fill="auto"/>
          <w:lang w:val="en-US" w:eastAsia="zh-CN"/>
        </w:rPr>
      </w:pPr>
      <w:r>
        <w:rPr>
          <w:rFonts w:hint="eastAsia" w:ascii="仿宋" w:hAnsi="仿宋" w:eastAsia="仿宋" w:cs="仿宋"/>
          <w:b/>
          <w:bCs/>
          <w:color w:val="auto"/>
          <w:sz w:val="30"/>
          <w:szCs w:val="30"/>
          <w:highlight w:val="none"/>
          <w:shd w:val="clear" w:color="auto" w:fill="auto"/>
          <w:lang w:val="en-US" w:eastAsia="zh-CN"/>
        </w:rPr>
        <w:t>管理费按整体项目报价，不限制上下限。整体项目涵盖1号、3号、13号及14号学生公寓。依照成交供应商最后报价为准。成交供应商须按成交价格于合同期内每年度第一个月份一次性缴纳年度管理费用。</w:t>
      </w:r>
    </w:p>
    <w:p w14:paraId="459ACA96">
      <w:pPr>
        <w:numPr>
          <w:ilvl w:val="0"/>
          <w:numId w:val="0"/>
        </w:numPr>
        <w:ind w:firstLine="602" w:firstLineChars="200"/>
        <w:jc w:val="both"/>
        <w:rPr>
          <w:rFonts w:hint="eastAsia" w:ascii="仿宋" w:hAnsi="仿宋" w:eastAsia="仿宋" w:cs="仿宋"/>
          <w:b/>
          <w:bCs/>
          <w:color w:val="auto"/>
          <w:sz w:val="30"/>
          <w:szCs w:val="30"/>
          <w:highlight w:val="none"/>
          <w:shd w:val="clear" w:color="auto" w:fill="auto"/>
          <w:lang w:val="en-US" w:eastAsia="zh-CN"/>
        </w:rPr>
      </w:pPr>
      <w:r>
        <w:rPr>
          <w:rFonts w:hint="eastAsia" w:ascii="仿宋" w:hAnsi="仿宋" w:eastAsia="仿宋" w:cs="仿宋"/>
          <w:b/>
          <w:bCs/>
          <w:color w:val="auto"/>
          <w:sz w:val="30"/>
          <w:szCs w:val="30"/>
          <w:highlight w:val="none"/>
          <w:shd w:val="clear" w:color="auto" w:fill="auto"/>
          <w:lang w:val="en-US" w:eastAsia="zh-CN"/>
        </w:rPr>
        <w:t>九、其他要求：</w:t>
      </w:r>
    </w:p>
    <w:p w14:paraId="162E1D40">
      <w:pPr>
        <w:numPr>
          <w:ilvl w:val="0"/>
          <w:numId w:val="0"/>
        </w:numPr>
        <w:ind w:firstLine="600" w:firstLineChars="20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1.运营期间，</w:t>
      </w:r>
      <w:r>
        <w:rPr>
          <w:rFonts w:hint="eastAsia" w:ascii="仿宋" w:hAnsi="仿宋" w:eastAsia="仿宋" w:cs="仿宋"/>
          <w:color w:val="auto"/>
          <w:sz w:val="30"/>
          <w:szCs w:val="30"/>
          <w:highlight w:val="none"/>
          <w:lang w:eastAsia="zh-CN"/>
        </w:rPr>
        <w:t>报价供应商</w:t>
      </w:r>
      <w:r>
        <w:rPr>
          <w:rFonts w:hint="eastAsia" w:ascii="仿宋" w:hAnsi="仿宋" w:eastAsia="仿宋" w:cs="仿宋"/>
          <w:color w:val="auto"/>
          <w:sz w:val="30"/>
          <w:szCs w:val="30"/>
          <w:highlight w:val="none"/>
          <w:lang w:val="en-US" w:eastAsia="zh-CN"/>
        </w:rPr>
        <w:t>应</w:t>
      </w:r>
      <w:r>
        <w:rPr>
          <w:rFonts w:hint="eastAsia" w:ascii="仿宋" w:hAnsi="仿宋" w:eastAsia="仿宋" w:cs="仿宋"/>
          <w:color w:val="auto"/>
          <w:sz w:val="30"/>
          <w:szCs w:val="30"/>
          <w:highlight w:val="none"/>
        </w:rPr>
        <w:t>服从</w:t>
      </w:r>
      <w:r>
        <w:rPr>
          <w:rFonts w:hint="eastAsia" w:ascii="仿宋" w:hAnsi="仿宋" w:eastAsia="仿宋" w:cs="仿宋"/>
          <w:color w:val="auto"/>
          <w:sz w:val="30"/>
          <w:szCs w:val="30"/>
          <w:highlight w:val="none"/>
          <w:lang w:val="en-US" w:eastAsia="zh-CN"/>
        </w:rPr>
        <w:t>校方</w:t>
      </w:r>
      <w:r>
        <w:rPr>
          <w:rFonts w:hint="eastAsia" w:ascii="仿宋" w:hAnsi="仿宋" w:eastAsia="仿宋" w:cs="仿宋"/>
          <w:color w:val="auto"/>
          <w:sz w:val="30"/>
          <w:szCs w:val="30"/>
          <w:highlight w:val="none"/>
        </w:rPr>
        <w:t>的监督管理和考核，遵守</w:t>
      </w:r>
      <w:r>
        <w:rPr>
          <w:rFonts w:hint="eastAsia" w:ascii="仿宋" w:hAnsi="仿宋" w:eastAsia="仿宋" w:cs="仿宋"/>
          <w:color w:val="auto"/>
          <w:sz w:val="30"/>
          <w:szCs w:val="30"/>
          <w:highlight w:val="none"/>
          <w:lang w:val="en-US" w:eastAsia="zh-CN"/>
        </w:rPr>
        <w:t>校方</w:t>
      </w:r>
      <w:r>
        <w:rPr>
          <w:rFonts w:hint="eastAsia" w:ascii="仿宋" w:hAnsi="仿宋" w:eastAsia="仿宋" w:cs="仿宋"/>
          <w:color w:val="auto"/>
          <w:sz w:val="30"/>
          <w:szCs w:val="30"/>
          <w:highlight w:val="none"/>
        </w:rPr>
        <w:t>的一切规章制度，不做有损</w:t>
      </w:r>
      <w:r>
        <w:rPr>
          <w:rFonts w:hint="eastAsia" w:ascii="仿宋" w:hAnsi="仿宋" w:eastAsia="仿宋" w:cs="仿宋"/>
          <w:color w:val="auto"/>
          <w:sz w:val="30"/>
          <w:szCs w:val="30"/>
          <w:highlight w:val="none"/>
          <w:lang w:val="en-US" w:eastAsia="zh-CN"/>
        </w:rPr>
        <w:t>校方</w:t>
      </w:r>
      <w:r>
        <w:rPr>
          <w:rFonts w:hint="eastAsia" w:ascii="仿宋" w:hAnsi="仿宋" w:eastAsia="仿宋" w:cs="仿宋"/>
          <w:color w:val="auto"/>
          <w:sz w:val="30"/>
          <w:szCs w:val="30"/>
          <w:highlight w:val="none"/>
        </w:rPr>
        <w:t>名誉等事项。项目合作期内，校方每</w:t>
      </w:r>
      <w:r>
        <w:rPr>
          <w:rFonts w:hint="eastAsia" w:ascii="仿宋" w:hAnsi="仿宋" w:eastAsia="仿宋" w:cs="仿宋"/>
          <w:color w:val="auto"/>
          <w:sz w:val="30"/>
          <w:szCs w:val="30"/>
          <w:highlight w:val="none"/>
          <w:lang w:val="en-US" w:eastAsia="zh-CN"/>
        </w:rPr>
        <w:t>月</w:t>
      </w:r>
      <w:r>
        <w:rPr>
          <w:rFonts w:hint="eastAsia" w:ascii="仿宋" w:hAnsi="仿宋" w:eastAsia="仿宋" w:cs="仿宋"/>
          <w:color w:val="auto"/>
          <w:sz w:val="30"/>
          <w:szCs w:val="30"/>
          <w:highlight w:val="none"/>
        </w:rPr>
        <w:t>依照《</w:t>
      </w:r>
      <w:r>
        <w:rPr>
          <w:rFonts w:hint="eastAsia" w:ascii="仿宋" w:hAnsi="仿宋" w:eastAsia="仿宋" w:cs="仿宋"/>
          <w:color w:val="auto"/>
          <w:sz w:val="30"/>
          <w:szCs w:val="30"/>
          <w:highlight w:val="none"/>
          <w:lang w:eastAsia="zh-CN"/>
        </w:rPr>
        <w:t>自助售卖机引进服务项目考评表</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详见附件</w:t>
      </w:r>
      <w:r>
        <w:rPr>
          <w:rFonts w:hint="eastAsia" w:ascii="仿宋" w:hAnsi="仿宋" w:eastAsia="仿宋" w:cs="仿宋"/>
          <w:color w:val="auto"/>
          <w:sz w:val="30"/>
          <w:szCs w:val="30"/>
          <w:highlight w:val="none"/>
          <w:lang w:eastAsia="zh-CN"/>
        </w:rPr>
        <w:t>，投诉率/维修及时性、卫生清洁、经营诚信、售后服务、设施安全</w:t>
      </w:r>
      <w:r>
        <w:rPr>
          <w:rFonts w:hint="eastAsia" w:ascii="仿宋" w:hAnsi="仿宋" w:eastAsia="仿宋" w:cs="仿宋"/>
          <w:color w:val="auto"/>
          <w:sz w:val="30"/>
          <w:szCs w:val="30"/>
          <w:highlight w:val="none"/>
        </w:rPr>
        <w:t>）进行引进服务项目考评。每月考评项目满分合计100分，累计扣除各项扣分后剩余分数，作为当月份项目考评分数；并每月月考评分数平均值将作为年度考评得分；年度考评得分≤80分的情况，校方有权终止合作合同。。</w:t>
      </w:r>
    </w:p>
    <w:p w14:paraId="053E2A5F">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2报价供应商发生劳动纠纷和意外事故，校方不承担连带责任。服务方应独立承担法律责任，以及所属人员的人身安全、财物安全、医疗事故等民事、劳动责任。</w:t>
      </w:r>
    </w:p>
    <w:p w14:paraId="16B61513">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报价供应商加强消防设施的配置和使用培训，消防设施的维护费用由成交服务方承担。如发生火灾事故，服务方均应承担全部法律责任，赔偿校方造成的损失。如发生安全事故，校方不承担连带责任。所引发的学生伤亡事故等责任问题由服务方负全责，并承担赔偿责任。服务方应确保使用者的人身安全：①必须安装独立的漏电保护装置；②每学期开学前必须对设备进行一次全面检查维修，确保设备安全正常使用；每月进行定期安全检查，形成检查记录；③设备安置点必须张贴使用说明，对使用者进行安全提醒。</w:t>
      </w:r>
    </w:p>
    <w:p w14:paraId="66814130">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合同期间，校方如因办学需要或国家政策等因素需中止合同的，校方应提前30天书面通知服务方，服务方应在30日内自行拆除设备及其相关附属设施，并恢复原状，未能按期拆除相关设施的，校方有权自行处理，由此造成的损失完全由服务方承担。如服务方中途未经校方允许停止经营超过5天的情况，校方不承担任何责任并没收履约保证金。校方再次招租，原服务方不得参与招标。</w:t>
      </w:r>
    </w:p>
    <w:p w14:paraId="5B27E63A">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5.因服务方管理不善，发生导致师生强烈不满事件或因服务方原因受到政府有关部门处理，给校方造成恶劣影响时，校方按约定终止合同。</w:t>
      </w:r>
    </w:p>
    <w:p w14:paraId="55CA28A2">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6报价供应商按照校方要求敷设电线路，安装电表，并按校方要求向校方缴纳电费。敷设电线路前需与校方动力部门沟通，方可实施。合同到期后敷设的电线归校方所有。项目电费按照现威海地区 0.5469 元/度标准进行计算；合同期内威海地区电费如有调整情况，本项目电费则依照地区价格进行调整，并按照调整后价格进行收取。</w:t>
      </w:r>
    </w:p>
    <w:p w14:paraId="5A42E835">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7报价供应商要提供完整售后服务方案。</w:t>
      </w:r>
    </w:p>
    <w:p w14:paraId="265B4011">
      <w:pPr>
        <w:numPr>
          <w:ilvl w:val="0"/>
          <w:numId w:val="0"/>
        </w:numPr>
        <w:ind w:firstLine="600" w:firstLineChars="2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8.成交后，成交供应商须缴纳 2 万元履约保证金，项目到期后由采购人无息退还。</w:t>
      </w:r>
    </w:p>
    <w:p w14:paraId="614D616B">
      <w:pPr>
        <w:numPr>
          <w:ilvl w:val="0"/>
          <w:numId w:val="0"/>
        </w:numPr>
        <w:ind w:firstLine="602" w:firstLineChars="200"/>
        <w:jc w:val="both"/>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9.服务期内如涉及公寓改造等情况，报价供应商需在2天内无条件撤出设备，待改造完成后重新投入设备，</w:t>
      </w:r>
      <w:bookmarkStart w:id="0" w:name="_GoBack"/>
      <w:bookmarkEnd w:id="0"/>
      <w:r>
        <w:rPr>
          <w:rFonts w:hint="eastAsia" w:ascii="仿宋" w:hAnsi="仿宋" w:eastAsia="仿宋" w:cs="仿宋"/>
          <w:b/>
          <w:bCs/>
          <w:color w:val="auto"/>
          <w:sz w:val="30"/>
          <w:szCs w:val="30"/>
          <w:highlight w:val="none"/>
          <w:lang w:val="en-US" w:eastAsia="zh-CN"/>
        </w:rPr>
        <w:t>产生的相关费用由报价供应商承担。</w:t>
      </w:r>
    </w:p>
    <w:p w14:paraId="6FACBF8F">
      <w:pPr>
        <w:numPr>
          <w:ilvl w:val="0"/>
          <w:numId w:val="0"/>
        </w:numPr>
        <w:ind w:firstLine="602" w:firstLineChars="200"/>
        <w:jc w:val="both"/>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10.经营过程中的未尽事宜双方协商解决。</w:t>
      </w:r>
    </w:p>
    <w:p w14:paraId="572F4C16">
      <w:pPr>
        <w:pStyle w:val="2"/>
        <w:rPr>
          <w:rFonts w:hint="eastAsia"/>
          <w:highlight w:val="none"/>
          <w:lang w:val="en-US" w:eastAsia="zh-CN"/>
        </w:rPr>
      </w:pPr>
    </w:p>
    <w:p w14:paraId="2F74F99F">
      <w:pPr>
        <w:numPr>
          <w:ilvl w:val="0"/>
          <w:numId w:val="0"/>
        </w:numPr>
        <w:ind w:firstLine="602" w:firstLineChars="200"/>
        <w:jc w:val="both"/>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注：本部分采购项目说明要求内容均为实质性条款，若有任何一项负偏离或不满足要求，则按无效报价处理。</w:t>
      </w:r>
    </w:p>
    <w:p w14:paraId="6A87C597">
      <w:pPr>
        <w:pStyle w:val="2"/>
        <w:rPr>
          <w:rFonts w:hint="eastAsia" w:ascii="仿宋" w:hAnsi="仿宋" w:eastAsia="仿宋" w:cs="仿宋"/>
          <w:b/>
          <w:bCs/>
          <w:color w:val="auto"/>
          <w:sz w:val="30"/>
          <w:szCs w:val="30"/>
          <w:highlight w:val="none"/>
          <w:lang w:val="en-US" w:eastAsia="zh-CN"/>
        </w:rPr>
      </w:pPr>
    </w:p>
    <w:p w14:paraId="6F7FB41E">
      <w:pPr>
        <w:pStyle w:val="2"/>
        <w:rPr>
          <w:rFonts w:hint="eastAsia" w:ascii="仿宋" w:hAnsi="仿宋" w:eastAsia="仿宋" w:cs="仿宋"/>
          <w:b/>
          <w:bCs/>
          <w:color w:val="auto"/>
          <w:sz w:val="30"/>
          <w:szCs w:val="30"/>
          <w:highlight w:val="none"/>
          <w:lang w:val="en-US" w:eastAsia="zh-CN"/>
        </w:rPr>
      </w:pPr>
    </w:p>
    <w:p w14:paraId="2979272D">
      <w:pPr>
        <w:pStyle w:val="2"/>
        <w:rPr>
          <w:rFonts w:hint="eastAsia" w:ascii="仿宋" w:hAnsi="仿宋" w:eastAsia="仿宋" w:cs="仿宋"/>
          <w:b/>
          <w:bCs/>
          <w:color w:val="auto"/>
          <w:sz w:val="30"/>
          <w:szCs w:val="30"/>
          <w:highlight w:val="none"/>
          <w:lang w:val="en-US" w:eastAsia="zh-CN"/>
        </w:rPr>
        <w:sectPr>
          <w:footerReference r:id="rId3" w:type="default"/>
          <w:pgSz w:w="11906" w:h="16838"/>
          <w:pgMar w:top="1418" w:right="1134" w:bottom="1134" w:left="1418" w:header="851" w:footer="992" w:gutter="0"/>
          <w:pgNumType w:fmt="decimal"/>
          <w:cols w:space="720" w:num="1"/>
          <w:docGrid w:type="lines" w:linePitch="520" w:charSpace="0"/>
        </w:sectPr>
      </w:pPr>
    </w:p>
    <w:tbl>
      <w:tblPr>
        <w:tblStyle w:val="4"/>
        <w:tblpPr w:leftFromText="180" w:rightFromText="180" w:vertAnchor="text" w:horzAnchor="page" w:tblpX="1051" w:tblpY="243"/>
        <w:tblOverlap w:val="never"/>
        <w:tblW w:w="15060" w:type="dxa"/>
        <w:jc w:val="center"/>
        <w:tblLayout w:type="fixed"/>
        <w:tblCellMar>
          <w:top w:w="0" w:type="dxa"/>
          <w:left w:w="108" w:type="dxa"/>
          <w:bottom w:w="0" w:type="dxa"/>
          <w:right w:w="108" w:type="dxa"/>
        </w:tblCellMar>
      </w:tblPr>
      <w:tblGrid>
        <w:gridCol w:w="15060"/>
      </w:tblGrid>
      <w:tr w14:paraId="724481C4">
        <w:tblPrEx>
          <w:tblCellMar>
            <w:top w:w="0" w:type="dxa"/>
            <w:left w:w="108" w:type="dxa"/>
            <w:bottom w:w="0" w:type="dxa"/>
            <w:right w:w="108" w:type="dxa"/>
          </w:tblCellMar>
        </w:tblPrEx>
        <w:trPr>
          <w:trHeight w:val="529" w:hRule="atLeast"/>
          <w:jc w:val="center"/>
        </w:trPr>
        <w:tc>
          <w:tcPr>
            <w:tcW w:w="15060" w:type="dxa"/>
            <w:tcBorders>
              <w:top w:val="nil"/>
              <w:left w:val="nil"/>
              <w:bottom w:val="single" w:color="000000" w:sz="8" w:space="0"/>
              <w:right w:val="nil"/>
            </w:tcBorders>
            <w:shd w:val="clear" w:color="auto" w:fill="FFFFFF"/>
            <w:noWrap w:val="0"/>
            <w:vAlign w:val="bottom"/>
          </w:tcPr>
          <w:p w14:paraId="5D9A76B9">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jc w:val="left"/>
              <w:rPr>
                <w:rFonts w:hint="default" w:ascii="宋体" w:hAnsi="宋体" w:eastAsia="宋体" w:cs="仿宋_GB2312"/>
                <w:b/>
                <w:bCs/>
                <w:color w:val="auto"/>
                <w:kern w:val="0"/>
                <w:sz w:val="22"/>
                <w:szCs w:val="22"/>
                <w:highlight w:val="none"/>
                <w:lang w:bidi="ar"/>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自助售卖</w:t>
            </w:r>
            <w:r>
              <w:rPr>
                <w:rFonts w:hint="eastAsia" w:ascii="宋体" w:hAnsi="宋体" w:eastAsia="宋体" w:cs="宋体"/>
                <w:b/>
                <w:bCs/>
                <w:color w:val="auto"/>
                <w:sz w:val="21"/>
                <w:szCs w:val="21"/>
                <w:highlight w:val="none"/>
              </w:rPr>
              <w:t>机引进服务项目监管考评表</w:t>
            </w:r>
          </w:p>
          <w:p w14:paraId="35613B0B">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jc w:val="right"/>
              <w:rPr>
                <w:rFonts w:hint="default" w:ascii="宋体" w:hAnsi="宋体" w:eastAsia="宋体" w:cs="仿宋_GB2312"/>
                <w:b/>
                <w:bCs/>
                <w:color w:val="auto"/>
                <w:sz w:val="22"/>
                <w:szCs w:val="22"/>
                <w:highlight w:val="none"/>
              </w:rPr>
            </w:pPr>
            <w:r>
              <w:rPr>
                <w:rFonts w:hint="default" w:ascii="宋体" w:hAnsi="宋体" w:eastAsia="宋体" w:cs="仿宋_GB2312"/>
                <w:b/>
                <w:bCs/>
                <w:color w:val="auto"/>
                <w:kern w:val="0"/>
                <w:sz w:val="22"/>
                <w:szCs w:val="22"/>
                <w:highlight w:val="none"/>
                <w:lang w:bidi="ar"/>
              </w:rPr>
              <w:t>年月</w:t>
            </w:r>
            <w:r>
              <w:rPr>
                <w:rFonts w:hint="eastAsia" w:ascii="宋体" w:hAnsi="宋体" w:eastAsia="宋体" w:cs="仿宋_GB2312"/>
                <w:b/>
                <w:bCs/>
                <w:color w:val="auto"/>
                <w:kern w:val="0"/>
                <w:sz w:val="22"/>
                <w:szCs w:val="22"/>
                <w:highlight w:val="none"/>
                <w:lang w:bidi="ar"/>
              </w:rPr>
              <w:t>日</w:t>
            </w:r>
          </w:p>
        </w:tc>
      </w:tr>
      <w:tr w14:paraId="496870FE">
        <w:tblPrEx>
          <w:tblCellMar>
            <w:top w:w="0" w:type="dxa"/>
            <w:left w:w="108" w:type="dxa"/>
            <w:bottom w:w="0" w:type="dxa"/>
            <w:right w:w="108" w:type="dxa"/>
          </w:tblCellMar>
        </w:tblPrEx>
        <w:trPr>
          <w:trHeight w:val="5766" w:hRule="atLeast"/>
          <w:jc w:val="center"/>
        </w:trPr>
        <w:tc>
          <w:tcPr>
            <w:tcW w:w="15060" w:type="dxa"/>
            <w:tcBorders>
              <w:top w:val="single" w:color="000000" w:sz="8" w:space="0"/>
              <w:left w:val="nil"/>
              <w:bottom w:val="nil"/>
              <w:right w:val="nil"/>
            </w:tcBorders>
            <w:shd w:val="clear" w:color="auto" w:fill="FFFFFF"/>
            <w:noWrap w:val="0"/>
            <w:vAlign w:val="center"/>
          </w:tcPr>
          <w:tbl>
            <w:tblPr>
              <w:tblStyle w:val="4"/>
              <w:tblW w:w="14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0"/>
              <w:gridCol w:w="1960"/>
              <w:gridCol w:w="8262"/>
              <w:gridCol w:w="1120"/>
              <w:gridCol w:w="1120"/>
              <w:gridCol w:w="839"/>
              <w:gridCol w:w="741"/>
            </w:tblGrid>
            <w:tr w14:paraId="6D17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840" w:type="dxa"/>
                  <w:shd w:val="clear" w:color="auto" w:fill="auto"/>
                  <w:noWrap w:val="0"/>
                  <w:vAlign w:val="top"/>
                </w:tcPr>
                <w:p w14:paraId="460CB2DC">
                  <w:pPr>
                    <w:pStyle w:val="6"/>
                    <w:keepNext w:val="0"/>
                    <w:keepLines w:val="0"/>
                    <w:pageBreakBefore w:val="0"/>
                    <w:suppressLineNumbers w:val="0"/>
                    <w:kinsoku/>
                    <w:wordWrap/>
                    <w:overflowPunct/>
                    <w:topLinePunct w:val="0"/>
                    <w:bidi w:val="0"/>
                    <w:adjustRightInd/>
                    <w:snapToGrid/>
                    <w:spacing w:before="130" w:beforeAutospacing="0" w:after="0" w:afterAutospacing="0" w:line="240" w:lineRule="exact"/>
                    <w:ind w:left="0" w:right="198" w:firstLine="0" w:firstLineChars="0"/>
                    <w:jc w:val="center"/>
                    <w:rPr>
                      <w:rFonts w:hint="default"/>
                      <w:b/>
                      <w:color w:val="auto"/>
                      <w:sz w:val="24"/>
                      <w:highlight w:val="none"/>
                    </w:rPr>
                  </w:pPr>
                  <w:r>
                    <w:rPr>
                      <w:rFonts w:hint="default"/>
                      <w:b/>
                      <w:color w:val="auto"/>
                      <w:sz w:val="24"/>
                      <w:highlight w:val="none"/>
                    </w:rPr>
                    <w:t>序号</w:t>
                  </w:r>
                </w:p>
              </w:tc>
              <w:tc>
                <w:tcPr>
                  <w:tcW w:w="1960" w:type="dxa"/>
                  <w:shd w:val="clear" w:color="auto" w:fill="auto"/>
                  <w:noWrap w:val="0"/>
                  <w:vAlign w:val="top"/>
                </w:tcPr>
                <w:p w14:paraId="5BD802E2">
                  <w:pPr>
                    <w:pStyle w:val="6"/>
                    <w:keepNext w:val="0"/>
                    <w:keepLines w:val="0"/>
                    <w:pageBreakBefore w:val="0"/>
                    <w:suppressLineNumbers w:val="0"/>
                    <w:kinsoku/>
                    <w:wordWrap/>
                    <w:overflowPunct/>
                    <w:topLinePunct w:val="0"/>
                    <w:bidi w:val="0"/>
                    <w:adjustRightInd/>
                    <w:snapToGrid/>
                    <w:spacing w:before="130" w:beforeAutospacing="0" w:after="0" w:afterAutospacing="0" w:line="240" w:lineRule="exact"/>
                    <w:ind w:left="164" w:leftChars="78" w:right="0" w:firstLine="236" w:firstLineChars="98"/>
                    <w:rPr>
                      <w:rFonts w:hint="default"/>
                      <w:b/>
                      <w:color w:val="auto"/>
                      <w:sz w:val="24"/>
                      <w:highlight w:val="none"/>
                    </w:rPr>
                  </w:pPr>
                  <w:r>
                    <w:rPr>
                      <w:rFonts w:hint="default"/>
                      <w:b/>
                      <w:color w:val="auto"/>
                      <w:sz w:val="24"/>
                      <w:highlight w:val="none"/>
                    </w:rPr>
                    <w:t>考评项目</w:t>
                  </w:r>
                </w:p>
              </w:tc>
              <w:tc>
                <w:tcPr>
                  <w:tcW w:w="8262" w:type="dxa"/>
                  <w:shd w:val="clear" w:color="auto" w:fill="auto"/>
                  <w:noWrap w:val="0"/>
                  <w:vAlign w:val="top"/>
                </w:tcPr>
                <w:p w14:paraId="7BFA9A85">
                  <w:pPr>
                    <w:pStyle w:val="6"/>
                    <w:keepNext w:val="0"/>
                    <w:keepLines w:val="0"/>
                    <w:pageBreakBefore w:val="0"/>
                    <w:suppressLineNumbers w:val="0"/>
                    <w:kinsoku/>
                    <w:wordWrap/>
                    <w:overflowPunct/>
                    <w:topLinePunct w:val="0"/>
                    <w:bidi w:val="0"/>
                    <w:adjustRightInd/>
                    <w:snapToGrid/>
                    <w:spacing w:before="130" w:beforeAutospacing="0" w:after="0" w:afterAutospacing="0" w:line="240" w:lineRule="exact"/>
                    <w:ind w:left="144" w:right="71" w:firstLine="0" w:firstLineChars="0"/>
                    <w:jc w:val="center"/>
                    <w:rPr>
                      <w:rFonts w:hint="default"/>
                      <w:b/>
                      <w:color w:val="auto"/>
                      <w:sz w:val="24"/>
                      <w:highlight w:val="none"/>
                    </w:rPr>
                  </w:pPr>
                  <w:r>
                    <w:rPr>
                      <w:rFonts w:hint="default"/>
                      <w:b/>
                      <w:color w:val="auto"/>
                      <w:sz w:val="24"/>
                      <w:highlight w:val="none"/>
                    </w:rPr>
                    <w:t>评分标准</w:t>
                  </w:r>
                </w:p>
              </w:tc>
              <w:tc>
                <w:tcPr>
                  <w:tcW w:w="1120" w:type="dxa"/>
                  <w:shd w:val="clear" w:color="auto" w:fill="auto"/>
                  <w:noWrap w:val="0"/>
                  <w:vAlign w:val="top"/>
                </w:tcPr>
                <w:p w14:paraId="7E434023">
                  <w:pPr>
                    <w:pStyle w:val="6"/>
                    <w:keepNext w:val="0"/>
                    <w:keepLines w:val="0"/>
                    <w:pageBreakBefore w:val="0"/>
                    <w:suppressLineNumbers w:val="0"/>
                    <w:kinsoku/>
                    <w:wordWrap/>
                    <w:overflowPunct/>
                    <w:topLinePunct w:val="0"/>
                    <w:bidi w:val="0"/>
                    <w:adjustRightInd/>
                    <w:snapToGrid/>
                    <w:spacing w:before="130" w:beforeAutospacing="0" w:after="0" w:afterAutospacing="0" w:line="240" w:lineRule="exact"/>
                    <w:ind w:left="74" w:right="21" w:firstLine="0" w:firstLineChars="0"/>
                    <w:jc w:val="center"/>
                    <w:rPr>
                      <w:rFonts w:hint="default"/>
                      <w:b/>
                      <w:color w:val="auto"/>
                      <w:sz w:val="24"/>
                      <w:highlight w:val="none"/>
                    </w:rPr>
                  </w:pPr>
                  <w:r>
                    <w:rPr>
                      <w:rFonts w:hint="default"/>
                      <w:b/>
                      <w:color w:val="auto"/>
                      <w:sz w:val="24"/>
                      <w:highlight w:val="none"/>
                    </w:rPr>
                    <w:t>扣分额度</w:t>
                  </w:r>
                </w:p>
              </w:tc>
              <w:tc>
                <w:tcPr>
                  <w:tcW w:w="1120" w:type="dxa"/>
                  <w:shd w:val="clear" w:color="auto" w:fill="auto"/>
                  <w:noWrap w:val="0"/>
                  <w:vAlign w:val="top"/>
                </w:tcPr>
                <w:p w14:paraId="16A3E2B0">
                  <w:pPr>
                    <w:pStyle w:val="6"/>
                    <w:keepNext w:val="0"/>
                    <w:keepLines w:val="0"/>
                    <w:pageBreakBefore w:val="0"/>
                    <w:suppressLineNumbers w:val="0"/>
                    <w:kinsoku/>
                    <w:wordWrap/>
                    <w:overflowPunct/>
                    <w:topLinePunct w:val="0"/>
                    <w:bidi w:val="0"/>
                    <w:adjustRightInd/>
                    <w:snapToGrid/>
                    <w:spacing w:before="130" w:beforeAutospacing="0" w:after="0" w:afterAutospacing="0" w:line="240" w:lineRule="exact"/>
                    <w:ind w:left="0" w:right="0" w:firstLine="0" w:firstLineChars="0"/>
                    <w:jc w:val="center"/>
                    <w:rPr>
                      <w:rFonts w:hint="default"/>
                      <w:b/>
                      <w:color w:val="auto"/>
                      <w:sz w:val="24"/>
                      <w:highlight w:val="none"/>
                    </w:rPr>
                  </w:pPr>
                  <w:r>
                    <w:rPr>
                      <w:rFonts w:hint="default"/>
                      <w:b/>
                      <w:color w:val="auto"/>
                      <w:sz w:val="24"/>
                      <w:highlight w:val="none"/>
                    </w:rPr>
                    <w:t>扣分次数</w:t>
                  </w:r>
                </w:p>
              </w:tc>
              <w:tc>
                <w:tcPr>
                  <w:tcW w:w="839" w:type="dxa"/>
                  <w:shd w:val="clear" w:color="auto" w:fill="auto"/>
                  <w:noWrap w:val="0"/>
                  <w:vAlign w:val="top"/>
                </w:tcPr>
                <w:p w14:paraId="7004C5FD">
                  <w:pPr>
                    <w:pStyle w:val="6"/>
                    <w:keepNext w:val="0"/>
                    <w:keepLines w:val="0"/>
                    <w:pageBreakBefore w:val="0"/>
                    <w:suppressLineNumbers w:val="0"/>
                    <w:kinsoku/>
                    <w:wordWrap/>
                    <w:overflowPunct/>
                    <w:topLinePunct w:val="0"/>
                    <w:bidi w:val="0"/>
                    <w:adjustRightInd/>
                    <w:snapToGrid/>
                    <w:spacing w:before="130" w:beforeAutospacing="0" w:after="0" w:afterAutospacing="0" w:line="240" w:lineRule="exact"/>
                    <w:ind w:left="0" w:right="0" w:firstLine="0" w:firstLineChars="0"/>
                    <w:jc w:val="center"/>
                    <w:rPr>
                      <w:rFonts w:hint="default"/>
                      <w:b/>
                      <w:color w:val="auto"/>
                      <w:sz w:val="24"/>
                      <w:highlight w:val="none"/>
                    </w:rPr>
                  </w:pPr>
                  <w:r>
                    <w:rPr>
                      <w:rFonts w:hint="default"/>
                      <w:b/>
                      <w:color w:val="auto"/>
                      <w:sz w:val="24"/>
                      <w:highlight w:val="none"/>
                    </w:rPr>
                    <w:t>扣分</w:t>
                  </w:r>
                </w:p>
              </w:tc>
              <w:tc>
                <w:tcPr>
                  <w:tcW w:w="741" w:type="dxa"/>
                  <w:shd w:val="clear" w:color="auto" w:fill="auto"/>
                  <w:noWrap w:val="0"/>
                  <w:vAlign w:val="top"/>
                </w:tcPr>
                <w:p w14:paraId="013D10C2">
                  <w:pPr>
                    <w:pStyle w:val="6"/>
                    <w:keepNext w:val="0"/>
                    <w:keepLines w:val="0"/>
                    <w:pageBreakBefore w:val="0"/>
                    <w:suppressLineNumbers w:val="0"/>
                    <w:kinsoku/>
                    <w:wordWrap/>
                    <w:overflowPunct/>
                    <w:topLinePunct w:val="0"/>
                    <w:bidi w:val="0"/>
                    <w:adjustRightInd/>
                    <w:snapToGrid/>
                    <w:spacing w:before="130" w:beforeAutospacing="0" w:after="0" w:afterAutospacing="0" w:line="240" w:lineRule="exact"/>
                    <w:ind w:left="0" w:right="0" w:firstLine="0" w:firstLineChars="0"/>
                    <w:jc w:val="center"/>
                    <w:rPr>
                      <w:rFonts w:hint="default"/>
                      <w:b/>
                      <w:color w:val="auto"/>
                      <w:sz w:val="24"/>
                      <w:highlight w:val="none"/>
                    </w:rPr>
                  </w:pPr>
                  <w:r>
                    <w:rPr>
                      <w:rFonts w:hint="default"/>
                      <w:b/>
                      <w:color w:val="auto"/>
                      <w:sz w:val="24"/>
                      <w:highlight w:val="none"/>
                    </w:rPr>
                    <w:t>备注</w:t>
                  </w:r>
                </w:p>
              </w:tc>
            </w:tr>
            <w:tr w14:paraId="7034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trPr>
              <w:tc>
                <w:tcPr>
                  <w:tcW w:w="840" w:type="dxa"/>
                  <w:shd w:val="clear" w:color="auto" w:fill="auto"/>
                  <w:noWrap w:val="0"/>
                  <w:vAlign w:val="top"/>
                </w:tcPr>
                <w:p w14:paraId="148BCF04">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color w:val="auto"/>
                      <w:sz w:val="20"/>
                      <w:highlight w:val="none"/>
                    </w:rPr>
                  </w:pPr>
                </w:p>
                <w:p w14:paraId="072C06C7">
                  <w:pPr>
                    <w:pStyle w:val="6"/>
                    <w:keepNext w:val="0"/>
                    <w:keepLines w:val="0"/>
                    <w:pageBreakBefore w:val="0"/>
                    <w:suppressLineNumbers w:val="0"/>
                    <w:kinsoku/>
                    <w:wordWrap/>
                    <w:overflowPunct/>
                    <w:topLinePunct w:val="0"/>
                    <w:bidi w:val="0"/>
                    <w:adjustRightInd/>
                    <w:snapToGrid/>
                    <w:spacing w:before="136" w:beforeAutospacing="0" w:after="0" w:afterAutospacing="0" w:line="240" w:lineRule="exact"/>
                    <w:ind w:left="76" w:right="0" w:firstLine="0" w:firstLineChars="0"/>
                    <w:jc w:val="center"/>
                    <w:rPr>
                      <w:rFonts w:hint="default"/>
                      <w:color w:val="auto"/>
                      <w:sz w:val="21"/>
                      <w:highlight w:val="none"/>
                    </w:rPr>
                  </w:pPr>
                  <w:r>
                    <w:rPr>
                      <w:rFonts w:hint="default"/>
                      <w:color w:val="auto"/>
                      <w:w w:val="99"/>
                      <w:sz w:val="21"/>
                      <w:highlight w:val="none"/>
                    </w:rPr>
                    <w:t>1</w:t>
                  </w:r>
                </w:p>
              </w:tc>
              <w:tc>
                <w:tcPr>
                  <w:tcW w:w="1960" w:type="dxa"/>
                  <w:vMerge w:val="restart"/>
                  <w:shd w:val="clear" w:color="auto" w:fill="auto"/>
                  <w:noWrap w:val="0"/>
                  <w:vAlign w:val="top"/>
                </w:tcPr>
                <w:p w14:paraId="5AF75A91">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jc w:val="center"/>
                    <w:rPr>
                      <w:rFonts w:hint="default"/>
                      <w:b/>
                      <w:color w:val="auto"/>
                      <w:sz w:val="20"/>
                      <w:highlight w:val="none"/>
                    </w:rPr>
                  </w:pPr>
                </w:p>
                <w:p w14:paraId="46DAAC32">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jc w:val="center"/>
                    <w:rPr>
                      <w:rFonts w:hint="default"/>
                      <w:b/>
                      <w:color w:val="auto"/>
                      <w:sz w:val="20"/>
                      <w:highlight w:val="none"/>
                    </w:rPr>
                  </w:pPr>
                </w:p>
                <w:p w14:paraId="124F2CE4">
                  <w:pPr>
                    <w:pStyle w:val="6"/>
                    <w:keepNext w:val="0"/>
                    <w:keepLines w:val="0"/>
                    <w:pageBreakBefore w:val="0"/>
                    <w:suppressLineNumbers w:val="0"/>
                    <w:kinsoku/>
                    <w:wordWrap/>
                    <w:overflowPunct/>
                    <w:topLinePunct w:val="0"/>
                    <w:bidi w:val="0"/>
                    <w:adjustRightInd/>
                    <w:snapToGrid/>
                    <w:spacing w:before="2" w:beforeAutospacing="0" w:after="0" w:afterAutospacing="0" w:line="240" w:lineRule="exact"/>
                    <w:ind w:left="0" w:right="0" w:firstLine="0" w:firstLineChars="0"/>
                    <w:jc w:val="center"/>
                    <w:rPr>
                      <w:rFonts w:hint="default"/>
                      <w:b/>
                      <w:color w:val="auto"/>
                      <w:highlight w:val="none"/>
                    </w:rPr>
                  </w:pPr>
                </w:p>
                <w:p w14:paraId="2FE36837">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332" w:right="-15" w:hanging="264" w:firstLineChars="0"/>
                    <w:jc w:val="center"/>
                    <w:rPr>
                      <w:rFonts w:hint="default"/>
                      <w:color w:val="auto"/>
                      <w:sz w:val="21"/>
                      <w:highlight w:val="none"/>
                    </w:rPr>
                  </w:pPr>
                  <w:r>
                    <w:rPr>
                      <w:rFonts w:hint="default"/>
                      <w:color w:val="auto"/>
                      <w:sz w:val="21"/>
                      <w:highlight w:val="none"/>
                    </w:rPr>
                    <w:t>投诉率/维修及时性</w:t>
                  </w:r>
                </w:p>
              </w:tc>
              <w:tc>
                <w:tcPr>
                  <w:tcW w:w="8262" w:type="dxa"/>
                  <w:shd w:val="clear" w:color="auto" w:fill="auto"/>
                  <w:noWrap w:val="0"/>
                  <w:vAlign w:val="top"/>
                </w:tcPr>
                <w:p w14:paraId="0595EA04">
                  <w:pPr>
                    <w:pStyle w:val="6"/>
                    <w:keepNext w:val="0"/>
                    <w:keepLines w:val="0"/>
                    <w:pageBreakBefore w:val="0"/>
                    <w:suppressLineNumbers w:val="0"/>
                    <w:kinsoku/>
                    <w:wordWrap/>
                    <w:overflowPunct/>
                    <w:topLinePunct w:val="0"/>
                    <w:bidi w:val="0"/>
                    <w:adjustRightInd/>
                    <w:snapToGrid/>
                    <w:spacing w:before="141" w:beforeAutospacing="0" w:after="0" w:afterAutospacing="0" w:line="240" w:lineRule="exact"/>
                    <w:ind w:left="47" w:right="71" w:firstLine="0" w:firstLineChars="0"/>
                    <w:rPr>
                      <w:rFonts w:hint="default"/>
                      <w:color w:val="auto"/>
                      <w:sz w:val="21"/>
                      <w:highlight w:val="none"/>
                      <w:lang w:eastAsia="zh-CN"/>
                    </w:rPr>
                  </w:pPr>
                  <w:r>
                    <w:rPr>
                      <w:rFonts w:hint="default"/>
                      <w:color w:val="auto"/>
                      <w:sz w:val="21"/>
                      <w:highlight w:val="none"/>
                      <w:lang w:eastAsia="zh-CN"/>
                    </w:rPr>
                    <w:t>凡学生或教职工通过各种途径（校长信箱、电话、后勤官方微博、意见簿等）故障报修或投诉项目服务质量问题，师生投诉经确认核实，服务方接到通知6小时内仍未整改且无整改落实方案的，一经查实每次扣2分。</w:t>
                  </w:r>
                </w:p>
              </w:tc>
              <w:tc>
                <w:tcPr>
                  <w:tcW w:w="1120" w:type="dxa"/>
                  <w:shd w:val="clear" w:color="auto" w:fill="auto"/>
                  <w:noWrap w:val="0"/>
                  <w:vAlign w:val="top"/>
                </w:tcPr>
                <w:p w14:paraId="15FF3276">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b/>
                      <w:color w:val="auto"/>
                      <w:sz w:val="20"/>
                      <w:highlight w:val="none"/>
                      <w:lang w:eastAsia="zh-CN"/>
                    </w:rPr>
                  </w:pPr>
                </w:p>
                <w:p w14:paraId="7FADE731">
                  <w:pPr>
                    <w:pStyle w:val="6"/>
                    <w:keepNext w:val="0"/>
                    <w:keepLines w:val="0"/>
                    <w:pageBreakBefore w:val="0"/>
                    <w:suppressLineNumbers w:val="0"/>
                    <w:kinsoku/>
                    <w:wordWrap/>
                    <w:overflowPunct/>
                    <w:topLinePunct w:val="0"/>
                    <w:bidi w:val="0"/>
                    <w:adjustRightInd/>
                    <w:snapToGrid/>
                    <w:spacing w:before="136" w:beforeAutospacing="0" w:after="0" w:afterAutospacing="0" w:line="240" w:lineRule="exact"/>
                    <w:ind w:left="74" w:right="18" w:firstLine="0" w:firstLineChars="0"/>
                    <w:jc w:val="center"/>
                    <w:rPr>
                      <w:rFonts w:hint="default"/>
                      <w:color w:val="auto"/>
                      <w:sz w:val="21"/>
                      <w:highlight w:val="none"/>
                    </w:rPr>
                  </w:pPr>
                  <w:r>
                    <w:rPr>
                      <w:rFonts w:hint="default"/>
                      <w:color w:val="auto"/>
                      <w:sz w:val="21"/>
                      <w:highlight w:val="none"/>
                    </w:rPr>
                    <w:t>-2</w:t>
                  </w:r>
                </w:p>
              </w:tc>
              <w:tc>
                <w:tcPr>
                  <w:tcW w:w="1120" w:type="dxa"/>
                  <w:shd w:val="clear" w:color="auto" w:fill="auto"/>
                  <w:noWrap w:val="0"/>
                  <w:vAlign w:val="top"/>
                </w:tcPr>
                <w:p w14:paraId="4EF759D9">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c>
                <w:tcPr>
                  <w:tcW w:w="839" w:type="dxa"/>
                  <w:shd w:val="clear" w:color="auto" w:fill="auto"/>
                  <w:noWrap w:val="0"/>
                  <w:vAlign w:val="top"/>
                </w:tcPr>
                <w:p w14:paraId="12BDDA99">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c>
                <w:tcPr>
                  <w:tcW w:w="741" w:type="dxa"/>
                  <w:shd w:val="clear" w:color="auto" w:fill="auto"/>
                  <w:noWrap w:val="0"/>
                  <w:vAlign w:val="top"/>
                </w:tcPr>
                <w:p w14:paraId="5577955B">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r>
            <w:tr w14:paraId="113E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840" w:type="dxa"/>
                  <w:shd w:val="clear" w:color="auto" w:fill="auto"/>
                  <w:noWrap w:val="0"/>
                  <w:vAlign w:val="top"/>
                </w:tcPr>
                <w:p w14:paraId="4F427B2C">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color w:val="auto"/>
                      <w:sz w:val="20"/>
                      <w:highlight w:val="none"/>
                    </w:rPr>
                  </w:pPr>
                </w:p>
                <w:p w14:paraId="2A23E875">
                  <w:pPr>
                    <w:pStyle w:val="6"/>
                    <w:keepNext w:val="0"/>
                    <w:keepLines w:val="0"/>
                    <w:pageBreakBefore w:val="0"/>
                    <w:suppressLineNumbers w:val="0"/>
                    <w:kinsoku/>
                    <w:wordWrap/>
                    <w:overflowPunct/>
                    <w:topLinePunct w:val="0"/>
                    <w:bidi w:val="0"/>
                    <w:adjustRightInd/>
                    <w:snapToGrid/>
                    <w:spacing w:before="138" w:beforeAutospacing="0" w:after="0" w:afterAutospacing="0" w:line="240" w:lineRule="exact"/>
                    <w:ind w:left="76" w:right="0" w:firstLine="0" w:firstLineChars="0"/>
                    <w:jc w:val="center"/>
                    <w:rPr>
                      <w:rFonts w:hint="default"/>
                      <w:color w:val="auto"/>
                      <w:sz w:val="21"/>
                      <w:highlight w:val="none"/>
                    </w:rPr>
                  </w:pPr>
                  <w:r>
                    <w:rPr>
                      <w:rFonts w:hint="default"/>
                      <w:color w:val="auto"/>
                      <w:w w:val="99"/>
                      <w:sz w:val="21"/>
                      <w:highlight w:val="none"/>
                    </w:rPr>
                    <w:t>2</w:t>
                  </w:r>
                </w:p>
              </w:tc>
              <w:tc>
                <w:tcPr>
                  <w:tcW w:w="1960" w:type="dxa"/>
                  <w:vMerge w:val="continue"/>
                  <w:shd w:val="clear" w:color="auto" w:fill="auto"/>
                  <w:noWrap w:val="0"/>
                  <w:vAlign w:val="top"/>
                </w:tcPr>
                <w:p w14:paraId="4122F1E3">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exact"/>
                    <w:ind w:left="0" w:right="0" w:firstLine="0" w:firstLineChars="0"/>
                    <w:jc w:val="center"/>
                    <w:rPr>
                      <w:rFonts w:hint="default" w:ascii="Times New Roman" w:hAnsi="Times New Roman" w:eastAsia="宋体" w:cs="Times New Roman"/>
                      <w:color w:val="auto"/>
                      <w:sz w:val="2"/>
                      <w:szCs w:val="2"/>
                      <w:highlight w:val="none"/>
                      <w:lang w:eastAsia="en-US"/>
                    </w:rPr>
                  </w:pPr>
                </w:p>
              </w:tc>
              <w:tc>
                <w:tcPr>
                  <w:tcW w:w="8262" w:type="dxa"/>
                  <w:shd w:val="clear" w:color="auto" w:fill="auto"/>
                  <w:noWrap w:val="0"/>
                  <w:vAlign w:val="top"/>
                </w:tcPr>
                <w:p w14:paraId="7511B455">
                  <w:pPr>
                    <w:pStyle w:val="6"/>
                    <w:keepNext w:val="0"/>
                    <w:keepLines w:val="0"/>
                    <w:pageBreakBefore w:val="0"/>
                    <w:suppressLineNumbers w:val="0"/>
                    <w:kinsoku/>
                    <w:wordWrap/>
                    <w:overflowPunct/>
                    <w:topLinePunct w:val="0"/>
                    <w:bidi w:val="0"/>
                    <w:adjustRightInd/>
                    <w:snapToGrid/>
                    <w:spacing w:before="144" w:beforeAutospacing="0" w:after="0" w:afterAutospacing="0" w:line="240" w:lineRule="exact"/>
                    <w:ind w:left="47" w:right="176" w:firstLine="0" w:firstLineChars="0"/>
                    <w:jc w:val="both"/>
                    <w:rPr>
                      <w:rFonts w:hint="default"/>
                      <w:color w:val="auto"/>
                      <w:sz w:val="21"/>
                      <w:highlight w:val="none"/>
                      <w:lang w:eastAsia="zh-CN"/>
                    </w:rPr>
                  </w:pPr>
                  <w:r>
                    <w:rPr>
                      <w:rFonts w:hint="default"/>
                      <w:color w:val="auto"/>
                      <w:sz w:val="21"/>
                      <w:highlight w:val="none"/>
                      <w:lang w:eastAsia="zh-CN"/>
                    </w:rPr>
                    <w:t>凡学生或教职工通过各种途径（校长信箱、电话、后勤官方微博、意见簿等）故障报修或投诉项目服务质量问题，师生投诉经确认核实，服务方接到通知24小时内仍未整改且无整改落实方案的，一经查实每次扣4分（以此类推）。</w:t>
                  </w:r>
                </w:p>
              </w:tc>
              <w:tc>
                <w:tcPr>
                  <w:tcW w:w="1120" w:type="dxa"/>
                  <w:shd w:val="clear" w:color="auto" w:fill="auto"/>
                  <w:noWrap w:val="0"/>
                  <w:vAlign w:val="top"/>
                </w:tcPr>
                <w:p w14:paraId="57A51D54">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b/>
                      <w:color w:val="auto"/>
                      <w:sz w:val="20"/>
                      <w:highlight w:val="none"/>
                      <w:lang w:eastAsia="zh-CN"/>
                    </w:rPr>
                  </w:pPr>
                </w:p>
                <w:p w14:paraId="6DA62016">
                  <w:pPr>
                    <w:pStyle w:val="6"/>
                    <w:keepNext w:val="0"/>
                    <w:keepLines w:val="0"/>
                    <w:pageBreakBefore w:val="0"/>
                    <w:suppressLineNumbers w:val="0"/>
                    <w:kinsoku/>
                    <w:wordWrap/>
                    <w:overflowPunct/>
                    <w:topLinePunct w:val="0"/>
                    <w:bidi w:val="0"/>
                    <w:adjustRightInd/>
                    <w:snapToGrid/>
                    <w:spacing w:before="138" w:beforeAutospacing="0" w:after="0" w:afterAutospacing="0" w:line="240" w:lineRule="exact"/>
                    <w:ind w:left="74" w:right="18" w:firstLine="0" w:firstLineChars="0"/>
                    <w:jc w:val="center"/>
                    <w:rPr>
                      <w:rFonts w:hint="default"/>
                      <w:color w:val="auto"/>
                      <w:sz w:val="21"/>
                      <w:highlight w:val="none"/>
                    </w:rPr>
                  </w:pPr>
                  <w:r>
                    <w:rPr>
                      <w:rFonts w:hint="default"/>
                      <w:color w:val="auto"/>
                      <w:sz w:val="21"/>
                      <w:highlight w:val="none"/>
                    </w:rPr>
                    <w:t>-4</w:t>
                  </w:r>
                </w:p>
              </w:tc>
              <w:tc>
                <w:tcPr>
                  <w:tcW w:w="1120" w:type="dxa"/>
                  <w:shd w:val="clear" w:color="auto" w:fill="auto"/>
                  <w:noWrap w:val="0"/>
                  <w:vAlign w:val="top"/>
                </w:tcPr>
                <w:p w14:paraId="7F2A6405">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c>
                <w:tcPr>
                  <w:tcW w:w="839" w:type="dxa"/>
                  <w:shd w:val="clear" w:color="auto" w:fill="auto"/>
                  <w:noWrap w:val="0"/>
                  <w:vAlign w:val="top"/>
                </w:tcPr>
                <w:p w14:paraId="0593F061">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c>
                <w:tcPr>
                  <w:tcW w:w="741" w:type="dxa"/>
                  <w:shd w:val="clear" w:color="auto" w:fill="auto"/>
                  <w:noWrap w:val="0"/>
                  <w:vAlign w:val="top"/>
                </w:tcPr>
                <w:p w14:paraId="7C6878E2">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r>
            <w:tr w14:paraId="02DC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840" w:type="dxa"/>
                  <w:shd w:val="clear" w:color="auto" w:fill="auto"/>
                  <w:noWrap w:val="0"/>
                  <w:vAlign w:val="top"/>
                </w:tcPr>
                <w:p w14:paraId="6F469B86">
                  <w:pPr>
                    <w:pStyle w:val="6"/>
                    <w:keepNext w:val="0"/>
                    <w:keepLines w:val="0"/>
                    <w:pageBreakBefore w:val="0"/>
                    <w:suppressLineNumbers w:val="0"/>
                    <w:kinsoku/>
                    <w:wordWrap/>
                    <w:overflowPunct/>
                    <w:topLinePunct w:val="0"/>
                    <w:bidi w:val="0"/>
                    <w:adjustRightInd/>
                    <w:snapToGrid/>
                    <w:spacing w:before="177" w:beforeAutospacing="0" w:after="0" w:afterAutospacing="0" w:line="240" w:lineRule="exact"/>
                    <w:ind w:left="76" w:right="0" w:firstLine="0" w:firstLineChars="0"/>
                    <w:jc w:val="center"/>
                    <w:rPr>
                      <w:rFonts w:hint="default"/>
                      <w:color w:val="auto"/>
                      <w:sz w:val="21"/>
                      <w:highlight w:val="none"/>
                    </w:rPr>
                  </w:pPr>
                  <w:r>
                    <w:rPr>
                      <w:rFonts w:hint="default"/>
                      <w:color w:val="auto"/>
                      <w:w w:val="99"/>
                      <w:sz w:val="21"/>
                      <w:highlight w:val="none"/>
                    </w:rPr>
                    <w:t>3</w:t>
                  </w:r>
                </w:p>
              </w:tc>
              <w:tc>
                <w:tcPr>
                  <w:tcW w:w="1960" w:type="dxa"/>
                  <w:shd w:val="clear" w:color="auto" w:fill="auto"/>
                  <w:noWrap w:val="0"/>
                  <w:vAlign w:val="top"/>
                </w:tcPr>
                <w:p w14:paraId="339628B2">
                  <w:pPr>
                    <w:pStyle w:val="6"/>
                    <w:keepNext w:val="0"/>
                    <w:keepLines w:val="0"/>
                    <w:pageBreakBefore w:val="0"/>
                    <w:suppressLineNumbers w:val="0"/>
                    <w:kinsoku/>
                    <w:wordWrap/>
                    <w:overflowPunct/>
                    <w:topLinePunct w:val="0"/>
                    <w:bidi w:val="0"/>
                    <w:adjustRightInd/>
                    <w:snapToGrid/>
                    <w:spacing w:before="177" w:beforeAutospacing="0" w:after="0" w:afterAutospacing="0" w:line="240" w:lineRule="exact"/>
                    <w:ind w:left="0" w:right="0"/>
                    <w:jc w:val="center"/>
                    <w:rPr>
                      <w:rFonts w:hint="default"/>
                      <w:color w:val="auto"/>
                      <w:sz w:val="21"/>
                      <w:highlight w:val="none"/>
                    </w:rPr>
                  </w:pPr>
                  <w:r>
                    <w:rPr>
                      <w:rFonts w:hint="default"/>
                      <w:color w:val="auto"/>
                      <w:sz w:val="21"/>
                      <w:highlight w:val="none"/>
                    </w:rPr>
                    <w:t>卫生清洁</w:t>
                  </w:r>
                </w:p>
              </w:tc>
              <w:tc>
                <w:tcPr>
                  <w:tcW w:w="8262" w:type="dxa"/>
                  <w:shd w:val="clear" w:color="auto" w:fill="auto"/>
                  <w:noWrap w:val="0"/>
                  <w:vAlign w:val="top"/>
                </w:tcPr>
                <w:p w14:paraId="092B1E45">
                  <w:pPr>
                    <w:pStyle w:val="6"/>
                    <w:keepNext w:val="0"/>
                    <w:keepLines w:val="0"/>
                    <w:pageBreakBefore w:val="0"/>
                    <w:suppressLineNumbers w:val="0"/>
                    <w:kinsoku/>
                    <w:wordWrap/>
                    <w:overflowPunct/>
                    <w:topLinePunct w:val="0"/>
                    <w:bidi w:val="0"/>
                    <w:adjustRightInd/>
                    <w:snapToGrid/>
                    <w:spacing w:before="56" w:beforeAutospacing="0" w:after="0" w:afterAutospacing="0" w:line="240" w:lineRule="exact"/>
                    <w:ind w:left="47" w:right="70" w:firstLine="0" w:firstLineChars="0"/>
                    <w:rPr>
                      <w:rFonts w:hint="default"/>
                      <w:color w:val="auto"/>
                      <w:sz w:val="21"/>
                      <w:highlight w:val="none"/>
                      <w:lang w:eastAsia="zh-CN"/>
                    </w:rPr>
                  </w:pPr>
                  <w:r>
                    <w:rPr>
                      <w:rFonts w:hint="eastAsia"/>
                      <w:color w:val="auto"/>
                      <w:sz w:val="21"/>
                      <w:highlight w:val="none"/>
                      <w:lang w:val="en-US" w:eastAsia="zh-CN"/>
                    </w:rPr>
                    <w:t>售卖</w:t>
                  </w:r>
                  <w:r>
                    <w:rPr>
                      <w:rFonts w:hint="eastAsia"/>
                      <w:color w:val="auto"/>
                      <w:sz w:val="21"/>
                      <w:highlight w:val="none"/>
                      <w:lang w:eastAsia="zh-CN"/>
                    </w:rPr>
                    <w:t>机</w:t>
                  </w:r>
                  <w:r>
                    <w:rPr>
                      <w:rFonts w:hint="default"/>
                      <w:color w:val="auto"/>
                      <w:sz w:val="21"/>
                      <w:highlight w:val="none"/>
                      <w:lang w:eastAsia="zh-CN"/>
                    </w:rPr>
                    <w:t>及周边卫生应保持清洁，每</w:t>
                  </w:r>
                  <w:r>
                    <w:rPr>
                      <w:rFonts w:hint="eastAsia"/>
                      <w:color w:val="auto"/>
                      <w:sz w:val="21"/>
                      <w:highlight w:val="none"/>
                      <w:lang w:val="en-US" w:eastAsia="zh-CN"/>
                    </w:rPr>
                    <w:t>周</w:t>
                  </w:r>
                  <w:r>
                    <w:rPr>
                      <w:rFonts w:hint="default"/>
                      <w:color w:val="auto"/>
                      <w:sz w:val="21"/>
                      <w:highlight w:val="none"/>
                      <w:lang w:eastAsia="zh-CN"/>
                    </w:rPr>
                    <w:t>清洁工作不少于</w:t>
                  </w:r>
                  <w:r>
                    <w:rPr>
                      <w:rFonts w:hint="eastAsia"/>
                      <w:color w:val="auto"/>
                      <w:sz w:val="21"/>
                      <w:highlight w:val="none"/>
                      <w:lang w:val="en-US" w:eastAsia="zh-CN"/>
                    </w:rPr>
                    <w:t>2</w:t>
                  </w:r>
                  <w:r>
                    <w:rPr>
                      <w:rFonts w:hint="default"/>
                      <w:color w:val="auto"/>
                      <w:sz w:val="21"/>
                      <w:highlight w:val="none"/>
                      <w:lang w:eastAsia="zh-CN"/>
                    </w:rPr>
                    <w:t>次以上；清洁卫生工作须有记录及有效公示。</w:t>
                  </w:r>
                </w:p>
              </w:tc>
              <w:tc>
                <w:tcPr>
                  <w:tcW w:w="1120" w:type="dxa"/>
                  <w:shd w:val="clear" w:color="auto" w:fill="auto"/>
                  <w:noWrap w:val="0"/>
                  <w:vAlign w:val="top"/>
                </w:tcPr>
                <w:p w14:paraId="6D1513F6">
                  <w:pPr>
                    <w:pStyle w:val="6"/>
                    <w:keepNext w:val="0"/>
                    <w:keepLines w:val="0"/>
                    <w:pageBreakBefore w:val="0"/>
                    <w:suppressLineNumbers w:val="0"/>
                    <w:kinsoku/>
                    <w:wordWrap/>
                    <w:overflowPunct/>
                    <w:topLinePunct w:val="0"/>
                    <w:bidi w:val="0"/>
                    <w:adjustRightInd/>
                    <w:snapToGrid/>
                    <w:spacing w:before="177" w:beforeAutospacing="0" w:after="0" w:afterAutospacing="0" w:line="240" w:lineRule="exact"/>
                    <w:ind w:left="74" w:right="18" w:firstLine="0" w:firstLineChars="0"/>
                    <w:jc w:val="center"/>
                    <w:rPr>
                      <w:rFonts w:hint="default"/>
                      <w:color w:val="auto"/>
                      <w:sz w:val="21"/>
                      <w:highlight w:val="none"/>
                    </w:rPr>
                  </w:pPr>
                  <w:r>
                    <w:rPr>
                      <w:rFonts w:hint="default"/>
                      <w:color w:val="auto"/>
                      <w:sz w:val="21"/>
                      <w:highlight w:val="none"/>
                    </w:rPr>
                    <w:t>-2</w:t>
                  </w:r>
                </w:p>
              </w:tc>
              <w:tc>
                <w:tcPr>
                  <w:tcW w:w="1120" w:type="dxa"/>
                  <w:shd w:val="clear" w:color="auto" w:fill="auto"/>
                  <w:noWrap w:val="0"/>
                  <w:vAlign w:val="top"/>
                </w:tcPr>
                <w:p w14:paraId="6A833F05">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c>
                <w:tcPr>
                  <w:tcW w:w="839" w:type="dxa"/>
                  <w:shd w:val="clear" w:color="auto" w:fill="auto"/>
                  <w:noWrap w:val="0"/>
                  <w:vAlign w:val="top"/>
                </w:tcPr>
                <w:p w14:paraId="58F96237">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c>
                <w:tcPr>
                  <w:tcW w:w="741" w:type="dxa"/>
                  <w:shd w:val="clear" w:color="auto" w:fill="auto"/>
                  <w:noWrap w:val="0"/>
                  <w:vAlign w:val="top"/>
                </w:tcPr>
                <w:p w14:paraId="5E54B2D0">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r>
            <w:tr w14:paraId="4375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840" w:type="dxa"/>
                  <w:shd w:val="clear" w:color="auto" w:fill="auto"/>
                  <w:noWrap w:val="0"/>
                  <w:vAlign w:val="top"/>
                </w:tcPr>
                <w:p w14:paraId="207BBF38">
                  <w:pPr>
                    <w:pStyle w:val="6"/>
                    <w:keepNext w:val="0"/>
                    <w:keepLines w:val="0"/>
                    <w:pageBreakBefore w:val="0"/>
                    <w:suppressLineNumbers w:val="0"/>
                    <w:kinsoku/>
                    <w:wordWrap/>
                    <w:overflowPunct/>
                    <w:topLinePunct w:val="0"/>
                    <w:bidi w:val="0"/>
                    <w:adjustRightInd/>
                    <w:snapToGrid/>
                    <w:spacing w:before="179" w:beforeAutospacing="0" w:after="0" w:afterAutospacing="0" w:line="240" w:lineRule="exact"/>
                    <w:ind w:left="76" w:right="0" w:firstLine="0" w:firstLineChars="0"/>
                    <w:jc w:val="center"/>
                    <w:rPr>
                      <w:rFonts w:hint="default"/>
                      <w:color w:val="auto"/>
                      <w:sz w:val="21"/>
                      <w:highlight w:val="none"/>
                    </w:rPr>
                  </w:pPr>
                  <w:r>
                    <w:rPr>
                      <w:rFonts w:hint="default"/>
                      <w:color w:val="auto"/>
                      <w:w w:val="99"/>
                      <w:sz w:val="21"/>
                      <w:highlight w:val="none"/>
                    </w:rPr>
                    <w:t>4</w:t>
                  </w:r>
                </w:p>
              </w:tc>
              <w:tc>
                <w:tcPr>
                  <w:tcW w:w="1960" w:type="dxa"/>
                  <w:shd w:val="clear" w:color="auto" w:fill="auto"/>
                  <w:noWrap w:val="0"/>
                  <w:vAlign w:val="top"/>
                </w:tcPr>
                <w:p w14:paraId="328B9B4A">
                  <w:pPr>
                    <w:pStyle w:val="6"/>
                    <w:keepNext w:val="0"/>
                    <w:keepLines w:val="0"/>
                    <w:pageBreakBefore w:val="0"/>
                    <w:suppressLineNumbers w:val="0"/>
                    <w:kinsoku/>
                    <w:wordWrap/>
                    <w:overflowPunct/>
                    <w:topLinePunct w:val="0"/>
                    <w:bidi w:val="0"/>
                    <w:adjustRightInd/>
                    <w:snapToGrid/>
                    <w:spacing w:before="177" w:beforeAutospacing="0" w:after="0" w:afterAutospacing="0" w:line="240" w:lineRule="exact"/>
                    <w:ind w:left="0" w:right="0"/>
                    <w:jc w:val="center"/>
                    <w:rPr>
                      <w:rFonts w:hint="default"/>
                      <w:color w:val="auto"/>
                      <w:sz w:val="21"/>
                      <w:highlight w:val="none"/>
                      <w:lang w:eastAsia="zh-CN"/>
                    </w:rPr>
                  </w:pPr>
                  <w:r>
                    <w:rPr>
                      <w:rFonts w:hint="default"/>
                      <w:color w:val="auto"/>
                      <w:sz w:val="21"/>
                      <w:highlight w:val="none"/>
                    </w:rPr>
                    <w:t>经营诚信</w:t>
                  </w:r>
                </w:p>
              </w:tc>
              <w:tc>
                <w:tcPr>
                  <w:tcW w:w="8262" w:type="dxa"/>
                  <w:shd w:val="clear" w:color="auto" w:fill="auto"/>
                  <w:noWrap w:val="0"/>
                  <w:vAlign w:val="top"/>
                </w:tcPr>
                <w:p w14:paraId="4E609117">
                  <w:pPr>
                    <w:pStyle w:val="6"/>
                    <w:keepNext w:val="0"/>
                    <w:keepLines w:val="0"/>
                    <w:pageBreakBefore w:val="0"/>
                    <w:suppressLineNumbers w:val="0"/>
                    <w:kinsoku/>
                    <w:wordWrap/>
                    <w:overflowPunct/>
                    <w:topLinePunct w:val="0"/>
                    <w:bidi w:val="0"/>
                    <w:adjustRightInd/>
                    <w:snapToGrid/>
                    <w:spacing w:before="5" w:beforeAutospacing="0" w:after="0" w:afterAutospacing="0" w:line="240" w:lineRule="exact"/>
                    <w:ind w:left="47" w:leftChars="0" w:right="71" w:rightChars="0" w:firstLine="0" w:firstLineChars="0"/>
                    <w:rPr>
                      <w:rFonts w:hint="default"/>
                      <w:color w:val="auto"/>
                      <w:sz w:val="21"/>
                      <w:highlight w:val="none"/>
                      <w:lang w:eastAsia="zh-CN"/>
                    </w:rPr>
                  </w:pPr>
                  <w:r>
                    <w:rPr>
                      <w:rFonts w:hint="default"/>
                      <w:color w:val="auto"/>
                      <w:sz w:val="21"/>
                      <w:highlight w:val="none"/>
                      <w:lang w:eastAsia="zh-CN"/>
                    </w:rPr>
                    <w:t>由于服务方设施等方面原因，造成校方及在住学生损失的情况下，服务方应及时进行处理及赔偿。情况经核实后，24小时内未进行有限处理的，一经查实每次扣4分</w:t>
                  </w:r>
                  <w:r>
                    <w:rPr>
                      <w:rFonts w:hint="eastAsia"/>
                      <w:color w:val="auto"/>
                      <w:sz w:val="21"/>
                      <w:highlight w:val="none"/>
                      <w:lang w:eastAsia="zh-CN"/>
                    </w:rPr>
                    <w:t>。</w:t>
                  </w:r>
                </w:p>
              </w:tc>
              <w:tc>
                <w:tcPr>
                  <w:tcW w:w="1120" w:type="dxa"/>
                  <w:shd w:val="clear" w:color="auto" w:fill="auto"/>
                  <w:noWrap w:val="0"/>
                  <w:vAlign w:val="top"/>
                </w:tcPr>
                <w:p w14:paraId="1BFDC6CE">
                  <w:pPr>
                    <w:pStyle w:val="6"/>
                    <w:keepNext w:val="0"/>
                    <w:keepLines w:val="0"/>
                    <w:pageBreakBefore w:val="0"/>
                    <w:suppressLineNumbers w:val="0"/>
                    <w:kinsoku/>
                    <w:wordWrap/>
                    <w:overflowPunct/>
                    <w:topLinePunct w:val="0"/>
                    <w:bidi w:val="0"/>
                    <w:adjustRightInd/>
                    <w:snapToGrid/>
                    <w:spacing w:before="179" w:beforeAutospacing="0" w:after="0" w:afterAutospacing="0" w:line="240" w:lineRule="exact"/>
                    <w:ind w:left="74" w:right="18" w:firstLine="0" w:firstLineChars="0"/>
                    <w:jc w:val="center"/>
                    <w:rPr>
                      <w:rFonts w:hint="default"/>
                      <w:color w:val="auto"/>
                      <w:sz w:val="21"/>
                      <w:highlight w:val="none"/>
                    </w:rPr>
                  </w:pPr>
                  <w:r>
                    <w:rPr>
                      <w:rFonts w:hint="default"/>
                      <w:color w:val="auto"/>
                      <w:sz w:val="21"/>
                      <w:highlight w:val="none"/>
                    </w:rPr>
                    <w:t>-4</w:t>
                  </w:r>
                </w:p>
              </w:tc>
              <w:tc>
                <w:tcPr>
                  <w:tcW w:w="1120" w:type="dxa"/>
                  <w:shd w:val="clear" w:color="auto" w:fill="auto"/>
                  <w:noWrap w:val="0"/>
                  <w:vAlign w:val="top"/>
                </w:tcPr>
                <w:p w14:paraId="2CB1579C">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c>
                <w:tcPr>
                  <w:tcW w:w="839" w:type="dxa"/>
                  <w:shd w:val="clear" w:color="auto" w:fill="auto"/>
                  <w:noWrap w:val="0"/>
                  <w:vAlign w:val="top"/>
                </w:tcPr>
                <w:p w14:paraId="21F7E67D">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c>
                <w:tcPr>
                  <w:tcW w:w="741" w:type="dxa"/>
                  <w:shd w:val="clear" w:color="auto" w:fill="auto"/>
                  <w:noWrap w:val="0"/>
                  <w:vAlign w:val="top"/>
                </w:tcPr>
                <w:p w14:paraId="50890C7F">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r>
            <w:tr w14:paraId="1AC5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840" w:type="dxa"/>
                  <w:shd w:val="clear" w:color="auto" w:fill="auto"/>
                  <w:noWrap w:val="0"/>
                  <w:vAlign w:val="top"/>
                </w:tcPr>
                <w:p w14:paraId="57BC32EA">
                  <w:pPr>
                    <w:pStyle w:val="6"/>
                    <w:keepNext w:val="0"/>
                    <w:keepLines w:val="0"/>
                    <w:pageBreakBefore w:val="0"/>
                    <w:suppressLineNumbers w:val="0"/>
                    <w:kinsoku/>
                    <w:wordWrap/>
                    <w:overflowPunct/>
                    <w:topLinePunct w:val="0"/>
                    <w:bidi w:val="0"/>
                    <w:adjustRightInd/>
                    <w:snapToGrid/>
                    <w:spacing w:before="177" w:beforeAutospacing="0" w:after="0" w:afterAutospacing="0" w:line="240" w:lineRule="exact"/>
                    <w:ind w:left="76" w:right="0" w:firstLine="0" w:firstLineChars="0"/>
                    <w:jc w:val="center"/>
                    <w:rPr>
                      <w:rFonts w:hint="default"/>
                      <w:color w:val="auto"/>
                      <w:sz w:val="21"/>
                      <w:highlight w:val="none"/>
                    </w:rPr>
                  </w:pPr>
                  <w:r>
                    <w:rPr>
                      <w:rFonts w:hint="default"/>
                      <w:color w:val="auto"/>
                      <w:w w:val="99"/>
                      <w:sz w:val="21"/>
                      <w:highlight w:val="none"/>
                    </w:rPr>
                    <w:t>5</w:t>
                  </w:r>
                </w:p>
              </w:tc>
              <w:tc>
                <w:tcPr>
                  <w:tcW w:w="1960" w:type="dxa"/>
                  <w:shd w:val="clear" w:color="auto" w:fill="auto"/>
                  <w:noWrap w:val="0"/>
                  <w:vAlign w:val="top"/>
                </w:tcPr>
                <w:p w14:paraId="79CA1C14">
                  <w:pPr>
                    <w:pStyle w:val="6"/>
                    <w:keepNext w:val="0"/>
                    <w:keepLines w:val="0"/>
                    <w:pageBreakBefore w:val="0"/>
                    <w:suppressLineNumbers w:val="0"/>
                    <w:kinsoku/>
                    <w:wordWrap/>
                    <w:overflowPunct/>
                    <w:topLinePunct w:val="0"/>
                    <w:bidi w:val="0"/>
                    <w:adjustRightInd/>
                    <w:snapToGrid/>
                    <w:spacing w:before="179" w:beforeAutospacing="0" w:after="0" w:afterAutospacing="0" w:line="240" w:lineRule="exact"/>
                    <w:ind w:left="0" w:right="0"/>
                    <w:jc w:val="center"/>
                    <w:rPr>
                      <w:rFonts w:hint="default"/>
                      <w:color w:val="auto"/>
                      <w:sz w:val="21"/>
                      <w:highlight w:val="none"/>
                    </w:rPr>
                  </w:pPr>
                  <w:r>
                    <w:rPr>
                      <w:rFonts w:hint="default"/>
                      <w:color w:val="auto"/>
                      <w:sz w:val="21"/>
                      <w:highlight w:val="none"/>
                    </w:rPr>
                    <w:t>售后服务</w:t>
                  </w:r>
                </w:p>
              </w:tc>
              <w:tc>
                <w:tcPr>
                  <w:tcW w:w="8262" w:type="dxa"/>
                  <w:shd w:val="clear" w:color="auto" w:fill="auto"/>
                  <w:noWrap w:val="0"/>
                  <w:vAlign w:val="top"/>
                </w:tcPr>
                <w:p w14:paraId="7FA7387E">
                  <w:pPr>
                    <w:pStyle w:val="6"/>
                    <w:keepNext w:val="0"/>
                    <w:keepLines w:val="0"/>
                    <w:pageBreakBefore w:val="0"/>
                    <w:suppressLineNumbers w:val="0"/>
                    <w:kinsoku/>
                    <w:wordWrap/>
                    <w:overflowPunct/>
                    <w:topLinePunct w:val="0"/>
                    <w:bidi w:val="0"/>
                    <w:adjustRightInd/>
                    <w:snapToGrid/>
                    <w:spacing w:before="53" w:beforeAutospacing="0" w:after="0" w:afterAutospacing="0" w:line="240" w:lineRule="exact"/>
                    <w:ind w:left="47" w:leftChars="0" w:right="176" w:rightChars="0" w:firstLine="0" w:firstLineChars="0"/>
                    <w:rPr>
                      <w:rFonts w:hint="default"/>
                      <w:color w:val="auto"/>
                      <w:sz w:val="21"/>
                      <w:highlight w:val="none"/>
                      <w:lang w:eastAsia="zh-CN"/>
                    </w:rPr>
                  </w:pPr>
                  <w:r>
                    <w:rPr>
                      <w:rFonts w:hint="default"/>
                      <w:color w:val="auto"/>
                      <w:sz w:val="21"/>
                      <w:highlight w:val="none"/>
                      <w:lang w:eastAsia="zh-CN"/>
                    </w:rPr>
                    <w:t>设施设备标识、联系方式</w:t>
                  </w:r>
                  <w:r>
                    <w:rPr>
                      <w:rFonts w:hint="eastAsia"/>
                      <w:color w:val="auto"/>
                      <w:sz w:val="21"/>
                      <w:highlight w:val="none"/>
                      <w:lang w:eastAsia="zh-CN"/>
                    </w:rPr>
                    <w:t>、</w:t>
                  </w:r>
                  <w:r>
                    <w:rPr>
                      <w:rFonts w:hint="default"/>
                      <w:color w:val="auto"/>
                      <w:sz w:val="21"/>
                      <w:highlight w:val="none"/>
                      <w:lang w:eastAsia="zh-CN"/>
                    </w:rPr>
                    <w:t>二维码等清楚、整洁。在住学生利用过程中遇到问题，服务方应第一时间做出解决。如有推诿及态度恶劣等情况发生，一经查实每次扣5分。</w:t>
                  </w:r>
                </w:p>
              </w:tc>
              <w:tc>
                <w:tcPr>
                  <w:tcW w:w="1120" w:type="dxa"/>
                  <w:shd w:val="clear" w:color="auto" w:fill="auto"/>
                  <w:noWrap w:val="0"/>
                  <w:vAlign w:val="top"/>
                </w:tcPr>
                <w:p w14:paraId="7B794BDF">
                  <w:pPr>
                    <w:pStyle w:val="6"/>
                    <w:keepNext w:val="0"/>
                    <w:keepLines w:val="0"/>
                    <w:pageBreakBefore w:val="0"/>
                    <w:suppressLineNumbers w:val="0"/>
                    <w:kinsoku/>
                    <w:wordWrap/>
                    <w:overflowPunct/>
                    <w:topLinePunct w:val="0"/>
                    <w:bidi w:val="0"/>
                    <w:adjustRightInd/>
                    <w:snapToGrid/>
                    <w:spacing w:before="177" w:beforeAutospacing="0" w:after="0" w:afterAutospacing="0" w:line="240" w:lineRule="exact"/>
                    <w:ind w:left="74" w:right="18" w:firstLine="0" w:firstLineChars="0"/>
                    <w:jc w:val="center"/>
                    <w:rPr>
                      <w:rFonts w:hint="eastAsia" w:eastAsia="宋体"/>
                      <w:color w:val="auto"/>
                      <w:sz w:val="21"/>
                      <w:highlight w:val="none"/>
                      <w:lang w:eastAsia="zh-CN"/>
                    </w:rPr>
                  </w:pPr>
                  <w:r>
                    <w:rPr>
                      <w:rFonts w:hint="default"/>
                      <w:color w:val="auto"/>
                      <w:sz w:val="21"/>
                      <w:highlight w:val="none"/>
                    </w:rPr>
                    <w:t>-</w:t>
                  </w:r>
                  <w:r>
                    <w:rPr>
                      <w:rFonts w:hint="eastAsia"/>
                      <w:color w:val="auto"/>
                      <w:sz w:val="21"/>
                      <w:highlight w:val="none"/>
                      <w:lang w:val="en-US" w:eastAsia="zh-CN"/>
                    </w:rPr>
                    <w:t>5</w:t>
                  </w:r>
                </w:p>
              </w:tc>
              <w:tc>
                <w:tcPr>
                  <w:tcW w:w="1120" w:type="dxa"/>
                  <w:shd w:val="clear" w:color="auto" w:fill="auto"/>
                  <w:noWrap w:val="0"/>
                  <w:vAlign w:val="top"/>
                </w:tcPr>
                <w:p w14:paraId="59BCCD1E">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c>
                <w:tcPr>
                  <w:tcW w:w="839" w:type="dxa"/>
                  <w:shd w:val="clear" w:color="auto" w:fill="auto"/>
                  <w:noWrap w:val="0"/>
                  <w:vAlign w:val="top"/>
                </w:tcPr>
                <w:p w14:paraId="650E8989">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c>
                <w:tcPr>
                  <w:tcW w:w="741" w:type="dxa"/>
                  <w:shd w:val="clear" w:color="auto" w:fill="auto"/>
                  <w:noWrap w:val="0"/>
                  <w:vAlign w:val="top"/>
                </w:tcPr>
                <w:p w14:paraId="53A77D1F">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r>
            <w:tr w14:paraId="327F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840" w:type="dxa"/>
                  <w:shd w:val="clear" w:color="auto" w:fill="auto"/>
                  <w:noWrap w:val="0"/>
                  <w:vAlign w:val="top"/>
                </w:tcPr>
                <w:p w14:paraId="548DE642">
                  <w:pPr>
                    <w:pStyle w:val="6"/>
                    <w:keepNext w:val="0"/>
                    <w:keepLines w:val="0"/>
                    <w:pageBreakBefore w:val="0"/>
                    <w:suppressLineNumbers w:val="0"/>
                    <w:kinsoku/>
                    <w:wordWrap/>
                    <w:overflowPunct/>
                    <w:topLinePunct w:val="0"/>
                    <w:bidi w:val="0"/>
                    <w:adjustRightInd/>
                    <w:snapToGrid/>
                    <w:spacing w:before="179" w:beforeAutospacing="0" w:after="0" w:afterAutospacing="0" w:line="240" w:lineRule="exact"/>
                    <w:ind w:left="76" w:right="0" w:firstLine="0" w:firstLineChars="0"/>
                    <w:jc w:val="center"/>
                    <w:rPr>
                      <w:rFonts w:hint="default"/>
                      <w:color w:val="auto"/>
                      <w:sz w:val="21"/>
                      <w:highlight w:val="none"/>
                    </w:rPr>
                  </w:pPr>
                  <w:r>
                    <w:rPr>
                      <w:rFonts w:hint="default"/>
                      <w:color w:val="auto"/>
                      <w:w w:val="99"/>
                      <w:sz w:val="21"/>
                      <w:highlight w:val="none"/>
                    </w:rPr>
                    <w:t>6</w:t>
                  </w:r>
                </w:p>
              </w:tc>
              <w:tc>
                <w:tcPr>
                  <w:tcW w:w="1960" w:type="dxa"/>
                  <w:shd w:val="clear" w:color="auto" w:fill="auto"/>
                  <w:noWrap w:val="0"/>
                  <w:vAlign w:val="top"/>
                </w:tcPr>
                <w:p w14:paraId="3A8922E8">
                  <w:pPr>
                    <w:pStyle w:val="6"/>
                    <w:keepNext w:val="0"/>
                    <w:keepLines w:val="0"/>
                    <w:pageBreakBefore w:val="0"/>
                    <w:suppressLineNumbers w:val="0"/>
                    <w:kinsoku/>
                    <w:wordWrap/>
                    <w:overflowPunct/>
                    <w:topLinePunct w:val="0"/>
                    <w:bidi w:val="0"/>
                    <w:adjustRightInd/>
                    <w:snapToGrid/>
                    <w:spacing w:before="179" w:beforeAutospacing="0" w:after="0" w:afterAutospacing="0" w:line="240" w:lineRule="exact"/>
                    <w:ind w:left="0" w:right="0"/>
                    <w:jc w:val="center"/>
                    <w:rPr>
                      <w:rFonts w:hint="default"/>
                      <w:color w:val="auto"/>
                      <w:sz w:val="21"/>
                      <w:highlight w:val="none"/>
                    </w:rPr>
                  </w:pPr>
                  <w:r>
                    <w:rPr>
                      <w:rFonts w:hint="default"/>
                      <w:color w:val="auto"/>
                      <w:sz w:val="21"/>
                      <w:highlight w:val="none"/>
                    </w:rPr>
                    <w:t>设施安全</w:t>
                  </w:r>
                </w:p>
              </w:tc>
              <w:tc>
                <w:tcPr>
                  <w:tcW w:w="8262" w:type="dxa"/>
                  <w:shd w:val="clear" w:color="auto" w:fill="auto"/>
                  <w:noWrap w:val="0"/>
                  <w:vAlign w:val="top"/>
                </w:tcPr>
                <w:p w14:paraId="5394FD3E">
                  <w:pPr>
                    <w:pStyle w:val="6"/>
                    <w:keepNext w:val="0"/>
                    <w:keepLines w:val="0"/>
                    <w:pageBreakBefore w:val="0"/>
                    <w:suppressLineNumbers w:val="0"/>
                    <w:kinsoku/>
                    <w:wordWrap/>
                    <w:overflowPunct/>
                    <w:topLinePunct w:val="0"/>
                    <w:bidi w:val="0"/>
                    <w:adjustRightInd/>
                    <w:snapToGrid/>
                    <w:spacing w:before="55" w:beforeAutospacing="0" w:after="0" w:afterAutospacing="0" w:line="240" w:lineRule="exact"/>
                    <w:ind w:left="47" w:leftChars="0" w:right="387" w:rightChars="0" w:firstLine="0" w:firstLineChars="0"/>
                    <w:rPr>
                      <w:rFonts w:hint="default"/>
                      <w:color w:val="auto"/>
                      <w:sz w:val="21"/>
                      <w:highlight w:val="none"/>
                      <w:lang w:eastAsia="zh-CN"/>
                    </w:rPr>
                  </w:pPr>
                  <w:r>
                    <w:rPr>
                      <w:rFonts w:hint="default"/>
                      <w:color w:val="auto"/>
                      <w:sz w:val="21"/>
                      <w:highlight w:val="none"/>
                      <w:lang w:eastAsia="zh-CN"/>
                    </w:rPr>
                    <w:t>服务方</w:t>
                  </w:r>
                  <w:r>
                    <w:rPr>
                      <w:rFonts w:hint="eastAsia"/>
                      <w:color w:val="auto"/>
                      <w:sz w:val="21"/>
                      <w:highlight w:val="none"/>
                      <w:lang w:val="en-US" w:eastAsia="zh-CN"/>
                    </w:rPr>
                    <w:t>售卖机</w:t>
                  </w:r>
                  <w:r>
                    <w:rPr>
                      <w:rFonts w:hint="default"/>
                      <w:color w:val="auto"/>
                      <w:sz w:val="21"/>
                      <w:highlight w:val="none"/>
                      <w:lang w:eastAsia="zh-CN"/>
                    </w:rPr>
                    <w:t>设备、电线路等设施须定期进行自查。如有（例如：短路）等安全隐患情况，一经查实每次扣5分。</w:t>
                  </w:r>
                </w:p>
              </w:tc>
              <w:tc>
                <w:tcPr>
                  <w:tcW w:w="1120" w:type="dxa"/>
                  <w:shd w:val="clear" w:color="auto" w:fill="auto"/>
                  <w:noWrap w:val="0"/>
                  <w:vAlign w:val="top"/>
                </w:tcPr>
                <w:p w14:paraId="6E1AD868">
                  <w:pPr>
                    <w:pStyle w:val="6"/>
                    <w:keepNext w:val="0"/>
                    <w:keepLines w:val="0"/>
                    <w:pageBreakBefore w:val="0"/>
                    <w:suppressLineNumbers w:val="0"/>
                    <w:kinsoku/>
                    <w:wordWrap/>
                    <w:overflowPunct/>
                    <w:topLinePunct w:val="0"/>
                    <w:bidi w:val="0"/>
                    <w:adjustRightInd/>
                    <w:snapToGrid/>
                    <w:spacing w:before="179" w:beforeAutospacing="0" w:after="0" w:afterAutospacing="0" w:line="240" w:lineRule="exact"/>
                    <w:ind w:left="74" w:right="18" w:firstLine="0" w:firstLineChars="0"/>
                    <w:jc w:val="center"/>
                    <w:rPr>
                      <w:rFonts w:hint="default"/>
                      <w:color w:val="auto"/>
                      <w:sz w:val="21"/>
                      <w:highlight w:val="none"/>
                    </w:rPr>
                  </w:pPr>
                  <w:r>
                    <w:rPr>
                      <w:rFonts w:hint="default"/>
                      <w:color w:val="auto"/>
                      <w:sz w:val="21"/>
                      <w:highlight w:val="none"/>
                    </w:rPr>
                    <w:t>-5</w:t>
                  </w:r>
                </w:p>
              </w:tc>
              <w:tc>
                <w:tcPr>
                  <w:tcW w:w="1120" w:type="dxa"/>
                  <w:shd w:val="clear" w:color="auto" w:fill="auto"/>
                  <w:noWrap w:val="0"/>
                  <w:vAlign w:val="top"/>
                </w:tcPr>
                <w:p w14:paraId="22931B8E">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c>
                <w:tcPr>
                  <w:tcW w:w="839" w:type="dxa"/>
                  <w:shd w:val="clear" w:color="auto" w:fill="auto"/>
                  <w:noWrap w:val="0"/>
                  <w:vAlign w:val="top"/>
                </w:tcPr>
                <w:p w14:paraId="50ABFB96">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c>
                <w:tcPr>
                  <w:tcW w:w="741" w:type="dxa"/>
                  <w:shd w:val="clear" w:color="auto" w:fill="auto"/>
                  <w:noWrap w:val="0"/>
                  <w:vAlign w:val="top"/>
                </w:tcPr>
                <w:p w14:paraId="222AFF2E">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rPr>
                  </w:pPr>
                </w:p>
              </w:tc>
            </w:tr>
            <w:tr w14:paraId="78EB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11062" w:type="dxa"/>
                  <w:gridSpan w:val="3"/>
                  <w:shd w:val="clear" w:color="auto" w:fill="auto"/>
                  <w:noWrap w:val="0"/>
                  <w:vAlign w:val="top"/>
                </w:tcPr>
                <w:p w14:paraId="76E4FF72">
                  <w:pPr>
                    <w:pStyle w:val="6"/>
                    <w:keepNext w:val="0"/>
                    <w:keepLines w:val="0"/>
                    <w:pageBreakBefore w:val="0"/>
                    <w:suppressLineNumbers w:val="0"/>
                    <w:kinsoku/>
                    <w:wordWrap/>
                    <w:overflowPunct/>
                    <w:topLinePunct w:val="0"/>
                    <w:bidi w:val="0"/>
                    <w:adjustRightInd/>
                    <w:snapToGrid/>
                    <w:spacing w:before="147" w:beforeAutospacing="0" w:after="0" w:afterAutospacing="0" w:line="240" w:lineRule="exact"/>
                    <w:ind w:left="4762" w:right="4704" w:firstLine="0" w:firstLineChars="0"/>
                    <w:jc w:val="center"/>
                    <w:rPr>
                      <w:rFonts w:hint="default"/>
                      <w:b/>
                      <w:color w:val="auto"/>
                      <w:sz w:val="21"/>
                      <w:highlight w:val="none"/>
                      <w:lang w:eastAsia="zh-CN"/>
                    </w:rPr>
                  </w:pPr>
                  <w:r>
                    <w:rPr>
                      <w:rFonts w:hint="default"/>
                      <w:b/>
                      <w:color w:val="auto"/>
                      <w:sz w:val="21"/>
                      <w:highlight w:val="none"/>
                      <w:lang w:eastAsia="zh-CN"/>
                    </w:rPr>
                    <w:t>得分合计</w:t>
                  </w:r>
                </w:p>
              </w:tc>
              <w:tc>
                <w:tcPr>
                  <w:tcW w:w="3820" w:type="dxa"/>
                  <w:gridSpan w:val="4"/>
                  <w:shd w:val="clear" w:color="auto" w:fill="auto"/>
                  <w:noWrap w:val="0"/>
                  <w:vAlign w:val="top"/>
                </w:tcPr>
                <w:p w14:paraId="65D59C5E">
                  <w:pPr>
                    <w:pStyle w:val="6"/>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firstLine="0" w:firstLineChars="0"/>
                    <w:rPr>
                      <w:rFonts w:hint="default" w:ascii="Times New Roman"/>
                      <w:color w:val="auto"/>
                      <w:highlight w:val="none"/>
                      <w:lang w:eastAsia="zh-CN"/>
                    </w:rPr>
                  </w:pPr>
                </w:p>
              </w:tc>
            </w:tr>
          </w:tbl>
          <w:p w14:paraId="3C488280">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说明：每月考评项目满分合计100分，累计扣除各项扣分后剩余分数，作为当月份项目考评分数；并每月月考评分数平均值将作为年度考评得分；年度考评得分≤80分的情况，校方有权终止合作合同。</w:t>
            </w:r>
          </w:p>
        </w:tc>
      </w:tr>
      <w:tr w14:paraId="6728965F">
        <w:tblPrEx>
          <w:tblCellMar>
            <w:top w:w="0" w:type="dxa"/>
            <w:left w:w="108" w:type="dxa"/>
            <w:bottom w:w="0" w:type="dxa"/>
            <w:right w:w="108" w:type="dxa"/>
          </w:tblCellMar>
        </w:tblPrEx>
        <w:trPr>
          <w:trHeight w:val="246" w:hRule="atLeast"/>
          <w:jc w:val="center"/>
        </w:trPr>
        <w:tc>
          <w:tcPr>
            <w:tcW w:w="15060" w:type="dxa"/>
            <w:tcBorders>
              <w:top w:val="nil"/>
              <w:left w:val="nil"/>
              <w:bottom w:val="nil"/>
              <w:right w:val="nil"/>
            </w:tcBorders>
            <w:shd w:val="clear" w:color="auto" w:fill="FFFFFF"/>
            <w:noWrap w:val="0"/>
            <w:vAlign w:val="center"/>
          </w:tcPr>
          <w:p w14:paraId="2F19B2D9">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乙方协理员签字：</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甲方管理人员签字：</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Times New Roman"/>
                <w:color w:val="auto"/>
                <w:szCs w:val="24"/>
                <w:highlight w:val="none"/>
                <w:u w:val="none"/>
                <w:lang w:val="en-US" w:eastAsia="zh-CN" w:bidi="ar"/>
              </w:rPr>
              <w:t>部门负责人</w:t>
            </w:r>
            <w:r>
              <w:rPr>
                <w:rFonts w:hint="eastAsia" w:ascii="宋体" w:hAnsi="宋体" w:eastAsia="宋体" w:cs="宋体"/>
                <w:color w:val="auto"/>
                <w:kern w:val="0"/>
                <w:sz w:val="24"/>
                <w:szCs w:val="24"/>
                <w:highlight w:val="none"/>
                <w:lang w:bidi="ar"/>
              </w:rPr>
              <w:t>：</w:t>
            </w:r>
          </w:p>
        </w:tc>
      </w:tr>
      <w:tr w14:paraId="17B0BDC9">
        <w:tblPrEx>
          <w:tblCellMar>
            <w:top w:w="0" w:type="dxa"/>
            <w:left w:w="108" w:type="dxa"/>
            <w:bottom w:w="0" w:type="dxa"/>
            <w:right w:w="108" w:type="dxa"/>
          </w:tblCellMar>
        </w:tblPrEx>
        <w:trPr>
          <w:trHeight w:val="586" w:hRule="atLeast"/>
          <w:jc w:val="center"/>
        </w:trPr>
        <w:tc>
          <w:tcPr>
            <w:tcW w:w="15060" w:type="dxa"/>
            <w:tcBorders>
              <w:top w:val="nil"/>
              <w:left w:val="nil"/>
              <w:bottom w:val="nil"/>
              <w:right w:val="nil"/>
            </w:tcBorders>
            <w:shd w:val="clear" w:color="auto" w:fill="FFFFFF"/>
            <w:noWrap w:val="0"/>
            <w:vAlign w:val="center"/>
          </w:tcPr>
          <w:p w14:paraId="6D41EEC9">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时间：</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时间：</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时间：</w:t>
            </w:r>
          </w:p>
        </w:tc>
      </w:tr>
    </w:tbl>
    <w:p w14:paraId="13EBE79A"/>
    <w:sectPr>
      <w:pgSz w:w="16838" w:h="11906" w:orient="landscape"/>
      <w:pgMar w:top="1417" w:right="1417" w:bottom="1134" w:left="1134" w:header="851" w:footer="992" w:gutter="0"/>
      <w:paperSrc/>
      <w:cols w:space="0" w:num="1"/>
      <w:rtlGutter w:val="0"/>
      <w:docGrid w:type="lines" w:linePitch="5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1EE7">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A93167A">
                          <w:pPr>
                            <w:pStyle w:val="3"/>
                          </w:pPr>
                          <w:r>
                            <w:fldChar w:fldCharType="begin"/>
                          </w:r>
                          <w:r>
                            <w:instrText xml:space="preserve"> PAGE  \* MERGEFORMAT </w:instrText>
                          </w:r>
                          <w:r>
                            <w:fldChar w:fldCharType="separate"/>
                          </w:r>
                          <w:r>
                            <w:t>37</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vLIQHucB&#10;AADJAwAADgAAAAAAAAABACAAAAAiAQAAZHJzL2Uyb0RvYy54bWxQSwUGAAAAAAYABgBZAQAAewUA&#10;AAAA&#10;">
              <v:fill on="f" focussize="0,0"/>
              <v:stroke on="f" weight="1.25pt"/>
              <v:imagedata o:title=""/>
              <o:lock v:ext="edit" aspectratio="f"/>
              <v:textbox inset="0mm,0mm,0mm,0mm" style="mso-fit-shape-to-text:t;">
                <w:txbxContent>
                  <w:p w14:paraId="2A93167A">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2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81695"/>
    <w:rsid w:val="250F7FFE"/>
    <w:rsid w:val="3E894A95"/>
    <w:rsid w:val="7E253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
    <w:name w:val="footer"/>
    <w:basedOn w:val="1"/>
    <w:qFormat/>
    <w:uiPriority w:val="99"/>
    <w:pPr>
      <w:tabs>
        <w:tab w:val="center" w:pos="4153"/>
        <w:tab w:val="right" w:pos="8306"/>
      </w:tabs>
      <w:snapToGrid w:val="0"/>
      <w:jc w:val="left"/>
    </w:pPr>
    <w:rPr>
      <w:sz w:val="18"/>
      <w:szCs w:val="20"/>
    </w:rPr>
  </w:style>
  <w:style w:type="paragraph" w:customStyle="1" w:styleId="6">
    <w:name w:val="Table Paragraph"/>
    <w:basedOn w:val="1"/>
    <w:qFormat/>
    <w:uiPriority w:val="1"/>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2025-01-13T12:16:00Z</dcterms:created>
  <dc:creator>Administrator</dc:creator>
  <cp:lastModifiedBy>ktzx</cp:lastModifiedBy>
  <dcterms:modified xsi:type="dcterms:W3CDTF">2025-07-02T03:23:20Z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1AC92996CB00491DA6C25BB44EB4D31A_12</vt:lpwstr>
  </property>
  <property fmtid="{D5CDD505-2E9C-101B-9397-08002B2CF9AE}" pid="4" name="KSOTemplateDocerSaveRecord">
    <vt:lpwstr>eyJoZGlkIjoiNDYxMmJlNGU2M2JkODhhZjE2ODUzODYwZTBhY2RhNDciLCJ1c2VySWQiOiI0MTg3ODcwNTkifQ==</vt:lpwstr>
  </property>
</Properties>
</file>