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B857">
      <w:pPr>
        <w:pStyle w:val="2"/>
        <w:spacing w:before="0" w:after="0" w:line="500" w:lineRule="exact"/>
        <w:jc w:val="center"/>
        <w:rPr>
          <w:rFonts w:hAnsi="宋体"/>
          <w:lang w:val="en-US" w:eastAsia="zh-CN"/>
        </w:rPr>
      </w:pPr>
      <w:bookmarkStart w:id="112" w:name="_GoBack"/>
      <w:r>
        <w:rPr>
          <w:rFonts w:hint="eastAsia" w:hAnsi="宋体" w:cs="宋体"/>
          <w:sz w:val="28"/>
          <w:szCs w:val="28"/>
        </w:rPr>
        <w:t>附件：哈尔滨工业大学（威海）</w:t>
      </w:r>
      <w:r>
        <w:rPr>
          <w:rFonts w:hint="eastAsia" w:hAnsi="宋体" w:cs="宋体"/>
          <w:sz w:val="28"/>
          <w:szCs w:val="28"/>
          <w:lang w:eastAsia="zh-CN"/>
        </w:rPr>
        <w:t>十四公寓自助洗涤服务项目</w:t>
      </w:r>
      <w:r>
        <w:rPr>
          <w:rFonts w:hint="eastAsia" w:hAnsi="宋体" w:cs="宋体"/>
          <w:sz w:val="28"/>
          <w:szCs w:val="28"/>
          <w:lang w:val="en-US" w:eastAsia="zh-CN"/>
        </w:rPr>
        <w:t>技术要求</w:t>
      </w:r>
    </w:p>
    <w:bookmarkEnd w:id="112"/>
    <w:p w14:paraId="466FC27C">
      <w:pPr>
        <w:tabs>
          <w:tab w:val="left" w:pos="8000"/>
        </w:tabs>
        <w:rPr>
          <w:rFonts w:hint="eastAsia" w:ascii="宋体" w:hAnsi="宋体" w:cs="宋体"/>
          <w:sz w:val="24"/>
          <w:szCs w:val="24"/>
        </w:rPr>
      </w:pPr>
    </w:p>
    <w:p w14:paraId="5C3BE1FC">
      <w:pPr>
        <w:pStyle w:val="3"/>
        <w:spacing w:before="0" w:after="0" w:line="560" w:lineRule="exact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bookmarkStart w:id="0" w:name="_Toc117584960"/>
      <w:bookmarkStart w:id="1" w:name="_Toc155357966"/>
      <w:bookmarkStart w:id="2" w:name="_Toc39051068"/>
      <w:bookmarkStart w:id="3" w:name="_Toc87434871"/>
      <w:r>
        <w:rPr>
          <w:rFonts w:hint="eastAsia" w:ascii="宋体" w:hAnsi="宋体" w:cs="宋体"/>
          <w:sz w:val="28"/>
          <w:szCs w:val="28"/>
        </w:rPr>
        <w:t>一、项目名称：</w:t>
      </w:r>
      <w:bookmarkEnd w:id="0"/>
      <w:bookmarkEnd w:id="1"/>
      <w:r>
        <w:rPr>
          <w:rFonts w:hint="eastAsia" w:ascii="宋体" w:hAnsi="宋体" w:cs="宋体"/>
          <w:b w:val="0"/>
          <w:bCs/>
          <w:sz w:val="28"/>
          <w:szCs w:val="28"/>
        </w:rPr>
        <w:t xml:space="preserve">哈尔滨工业大学（威海）十四公寓自助洗涤服务项目 </w:t>
      </w:r>
    </w:p>
    <w:p w14:paraId="0C05C810">
      <w:pPr>
        <w:pStyle w:val="3"/>
        <w:spacing w:before="0" w:after="0"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二、项目</w:t>
      </w:r>
      <w:r>
        <w:rPr>
          <w:rFonts w:hint="eastAsia" w:ascii="宋体" w:hAnsi="宋体" w:cs="宋体"/>
          <w:sz w:val="28"/>
          <w:szCs w:val="28"/>
        </w:rPr>
        <w:t>设备需求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tbl>
      <w:tblPr>
        <w:tblStyle w:val="5"/>
        <w:tblW w:w="105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863"/>
        <w:gridCol w:w="2624"/>
        <w:gridCol w:w="2624"/>
      </w:tblGrid>
      <w:tr w14:paraId="265C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421" w:type="dxa"/>
            <w:noWrap w:val="0"/>
            <w:vAlign w:val="center"/>
          </w:tcPr>
          <w:p w14:paraId="559508AF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863" w:type="dxa"/>
            <w:noWrap w:val="0"/>
            <w:vAlign w:val="center"/>
          </w:tcPr>
          <w:p w14:paraId="643FB8C1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设备名称</w:t>
            </w:r>
          </w:p>
        </w:tc>
        <w:tc>
          <w:tcPr>
            <w:tcW w:w="2624" w:type="dxa"/>
            <w:noWrap w:val="0"/>
            <w:vAlign w:val="center"/>
          </w:tcPr>
          <w:p w14:paraId="0B06FCB7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最低数量</w:t>
            </w:r>
          </w:p>
        </w:tc>
        <w:tc>
          <w:tcPr>
            <w:tcW w:w="2624" w:type="dxa"/>
            <w:noWrap w:val="0"/>
            <w:vAlign w:val="center"/>
          </w:tcPr>
          <w:p w14:paraId="075301EB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备注</w:t>
            </w:r>
          </w:p>
        </w:tc>
      </w:tr>
      <w:tr w14:paraId="21DA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21" w:type="dxa"/>
            <w:noWrap w:val="0"/>
            <w:vAlign w:val="center"/>
          </w:tcPr>
          <w:p w14:paraId="450A484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863" w:type="dxa"/>
            <w:noWrap w:val="0"/>
            <w:vAlign w:val="center"/>
          </w:tcPr>
          <w:p w14:paraId="09E3B5C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滚筒式洗衣机</w:t>
            </w:r>
          </w:p>
        </w:tc>
        <w:tc>
          <w:tcPr>
            <w:tcW w:w="2624" w:type="dxa"/>
            <w:noWrap w:val="0"/>
            <w:vAlign w:val="center"/>
          </w:tcPr>
          <w:p w14:paraId="015CAFF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39</w:t>
            </w:r>
          </w:p>
        </w:tc>
        <w:tc>
          <w:tcPr>
            <w:tcW w:w="2624" w:type="dxa"/>
            <w:vMerge w:val="restart"/>
            <w:noWrap w:val="0"/>
            <w:vAlign w:val="center"/>
          </w:tcPr>
          <w:p w14:paraId="07CED34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根据实际洗衣需求增加设备数量</w:t>
            </w:r>
          </w:p>
        </w:tc>
      </w:tr>
      <w:tr w14:paraId="1D9D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21" w:type="dxa"/>
            <w:noWrap w:val="0"/>
            <w:vAlign w:val="center"/>
          </w:tcPr>
          <w:p w14:paraId="4FD1A73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863" w:type="dxa"/>
            <w:noWrap w:val="0"/>
            <w:vAlign w:val="center"/>
          </w:tcPr>
          <w:p w14:paraId="0CEDFCC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波轮式洗衣机</w:t>
            </w:r>
          </w:p>
        </w:tc>
        <w:tc>
          <w:tcPr>
            <w:tcW w:w="2624" w:type="dxa"/>
            <w:noWrap w:val="0"/>
            <w:vAlign w:val="center"/>
          </w:tcPr>
          <w:p w14:paraId="4F09A95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39</w:t>
            </w:r>
          </w:p>
        </w:tc>
        <w:tc>
          <w:tcPr>
            <w:tcW w:w="2624" w:type="dxa"/>
            <w:vMerge w:val="continue"/>
            <w:noWrap w:val="0"/>
            <w:vAlign w:val="center"/>
          </w:tcPr>
          <w:p w14:paraId="773DBF4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D08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421" w:type="dxa"/>
            <w:noWrap w:val="0"/>
            <w:vAlign w:val="center"/>
          </w:tcPr>
          <w:p w14:paraId="478684F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863" w:type="dxa"/>
            <w:noWrap w:val="0"/>
            <w:vAlign w:val="center"/>
          </w:tcPr>
          <w:p w14:paraId="7BB7419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滚筒式烘干机</w:t>
            </w:r>
          </w:p>
        </w:tc>
        <w:tc>
          <w:tcPr>
            <w:tcW w:w="2624" w:type="dxa"/>
            <w:noWrap w:val="0"/>
            <w:vAlign w:val="center"/>
          </w:tcPr>
          <w:p w14:paraId="16CA746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624" w:type="dxa"/>
            <w:vMerge w:val="continue"/>
            <w:noWrap w:val="0"/>
            <w:vAlign w:val="center"/>
          </w:tcPr>
          <w:p w14:paraId="559702E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7B20E915">
      <w:pPr>
        <w:pStyle w:val="3"/>
        <w:spacing w:before="0" w:after="0" w:line="560" w:lineRule="exact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三、项目履约时间、地点：</w:t>
      </w:r>
    </w:p>
    <w:p w14:paraId="3428642A"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合同签订后，2025年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6月15日前完成十四公寓的自助洗涤及配套设施的安装与调试工作。如有时间变更，校方会以书面形式通知成交单位。</w:t>
      </w:r>
    </w:p>
    <w:p w14:paraId="1ED5E048">
      <w:pPr>
        <w:pStyle w:val="3"/>
        <w:spacing w:before="0" w:after="0" w:line="560" w:lineRule="exact"/>
        <w:rPr>
          <w:rFonts w:hint="eastAsia" w:ascii="宋体" w:hAnsi="宋体" w:cs="宋体"/>
          <w:bCs/>
          <w:sz w:val="28"/>
          <w:szCs w:val="28"/>
        </w:rPr>
      </w:pPr>
      <w:bookmarkStart w:id="4" w:name="_Toc155357967"/>
      <w:bookmarkStart w:id="5" w:name="_Toc117584961"/>
      <w:r>
        <w:rPr>
          <w:rFonts w:hint="eastAsia" w:ascii="宋体" w:hAnsi="宋体" w:cs="宋体"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Cs/>
          <w:sz w:val="28"/>
          <w:szCs w:val="28"/>
        </w:rPr>
        <w:t>、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项目服务要求</w:t>
      </w:r>
      <w:r>
        <w:rPr>
          <w:rFonts w:hint="eastAsia" w:ascii="宋体" w:hAnsi="宋体" w:cs="宋体"/>
          <w:bCs/>
          <w:sz w:val="28"/>
          <w:szCs w:val="28"/>
        </w:rPr>
        <w:t>：</w:t>
      </w:r>
      <w:bookmarkEnd w:id="4"/>
      <w:bookmarkStart w:id="6" w:name="_Toc106798187"/>
      <w:bookmarkStart w:id="7" w:name="_Toc106797922"/>
    </w:p>
    <w:bookmarkEnd w:id="5"/>
    <w:bookmarkEnd w:id="6"/>
    <w:bookmarkEnd w:id="7"/>
    <w:tbl>
      <w:tblPr>
        <w:tblStyle w:val="5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64"/>
        <w:gridCol w:w="7152"/>
      </w:tblGrid>
      <w:tr w14:paraId="6C98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701C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bookmarkStart w:id="8" w:name="_Toc155357969"/>
            <w:bookmarkStart w:id="9" w:name="_Toc117584964"/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D10B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服务要求</w:t>
            </w:r>
          </w:p>
          <w:p w14:paraId="0609148C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BCB0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服务要求标准</w:t>
            </w:r>
          </w:p>
        </w:tc>
      </w:tr>
      <w:tr w14:paraId="7FB0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F689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6962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人员要求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5679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本项目需设备维修技术人员至少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1</w:t>
            </w:r>
            <w:r>
              <w:rPr>
                <w:rFonts w:hint="eastAsia" w:ascii="宋体" w:hAnsi="宋体" w:cs="宋体"/>
                <w:sz w:val="28"/>
                <w:szCs w:val="28"/>
              </w:rPr>
              <w:t>名，设施消毒保洁人员至少 1名，时间：每天（7:00-23:00）进行相关维护、维修、清洁、消毒等工作。</w:t>
            </w:r>
          </w:p>
        </w:tc>
      </w:tr>
      <w:tr w14:paraId="06BD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F211"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32D8"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售后服务</w:t>
            </w:r>
          </w:p>
          <w:p w14:paraId="0C2C7D89"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标准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87F1"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包含原厂售后服务产品在内，供应商应承诺：同型号备用洗衣机及配件设备储备不少于2套，常用配件储备应满足5套洗衣设备维修条件。</w:t>
            </w:r>
          </w:p>
        </w:tc>
      </w:tr>
      <w:bookmarkEnd w:id="2"/>
      <w:bookmarkEnd w:id="3"/>
      <w:bookmarkEnd w:id="8"/>
      <w:bookmarkEnd w:id="9"/>
    </w:tbl>
    <w:p w14:paraId="73CFC100">
      <w:pPr>
        <w:pStyle w:val="3"/>
        <w:spacing w:before="0" w:after="0" w:line="560" w:lineRule="exact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Cs/>
          <w:sz w:val="28"/>
          <w:szCs w:val="28"/>
        </w:rPr>
        <w:t>、项目</w:t>
      </w:r>
      <w:bookmarkStart w:id="10" w:name="_Toc477248551"/>
      <w:bookmarkStart w:id="11" w:name="_Toc414347862"/>
      <w:bookmarkStart w:id="12" w:name="_Toc417566433"/>
      <w:bookmarkStart w:id="13" w:name="_Toc405470380"/>
      <w:r>
        <w:rPr>
          <w:rFonts w:hint="eastAsia" w:ascii="宋体" w:hAnsi="宋体" w:cs="宋体"/>
          <w:bCs/>
          <w:sz w:val="28"/>
          <w:szCs w:val="28"/>
        </w:rPr>
        <w:t>技术要求</w:t>
      </w:r>
      <w:bookmarkEnd w:id="10"/>
      <w:bookmarkEnd w:id="11"/>
      <w:bookmarkEnd w:id="12"/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</w:p>
    <w:p w14:paraId="19B9D9E9"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十四公寓引进自助滚筒式洗衣机39台，洗衣容量不小于9KG，波轮式洗衣机39台，洗衣容量不小于6KG，滚筒式烘干机9台，干衣容量不小于10KG（全部由服务商提供，参考品牌：海尔、海信、美的等）。后期根据实际洗衣需求增加设备数量。</w:t>
      </w:r>
    </w:p>
    <w:p w14:paraId="43ABB9E1"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2.支付方式：按照校方要求，目前要使用扫码支付方式（包括支付宝、微信、云闪付等），同时要满足后期校方要求的其他支付方式，比如刷卡式支付方式。</w:t>
      </w:r>
    </w:p>
    <w:p w14:paraId="79A898DC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3.相关电力线路由甲方敷设、驳接；相关网络、网络设施、外接线路、水电计量设施（水电表）等，由服务商按照校方要求，提供并敷设、驳接。(踏勘现场时甲方现场告知如何敷设及驳接)</w:t>
      </w:r>
    </w:p>
    <w:p w14:paraId="6E46D510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4.洗涤服务相关收费，滚筒式和波轮式洗衣机：洗涤服务单价4.00元/次（不低于40分钟）；滚筒式烘干机：洗涤服务单价1.00元/10分钟；计费方式采用时间控制方式进行。</w:t>
      </w:r>
    </w:p>
    <w:p w14:paraId="11E845B3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5.十四公寓自助洗涤服务项目管理费不限制上下限，依照中标方最终报价为准。合同期内，每年度第一个月份一次性收取年度管理费用；每月水电费（项目水、电费用按照现威海地区电 0.5469 元/度、水 3.7元/吨标准进行计算；合同期内威海地区水、电费用如有调整情况，本项目水、电费用则依照地区价格进行调整，并按照调整后价格进行收取）按时缴纳，寒暑假假期顺延；项目合同期：签订之日起至2028年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8月13日。</w:t>
      </w:r>
    </w:p>
    <w:p w14:paraId="5EF8E5B8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项目合作期内，校方进行年度引进服务项目考评。主要依据维修及时率、投诉率、卫生清洁、消毒情况、经营诚信度等方面数据进行。年度考核未达标（&lt;80分）情况下，校方有权终止合同，损失由服务方自行负担。（参考附件：《引进自助洗涤服务项目考评表》）</w:t>
      </w:r>
    </w:p>
    <w:p w14:paraId="2375E269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7.成交单位合同期内，如发生以下情况，校方有权终止合同，产生损失由服务方自行负担。</w:t>
      </w:r>
    </w:p>
    <w:p w14:paraId="7A633FB8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（1）成交人成交时所提供的洗衣机等设施，须为全新知名品牌产品，如校方发现在实际项目投用时（即将或已经停产、老旧）的。</w:t>
      </w:r>
    </w:p>
    <w:p w14:paraId="6D6F041E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（2）单机（包括：单台洗衣机及其相关网络设备）故障维修超过1周未能解决的。</w:t>
      </w:r>
    </w:p>
    <w:p w14:paraId="2DC7CC60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（3）项目运营当中，与师生员工发生纠纷，未能有效解决，并且影响恶劣的。</w:t>
      </w:r>
    </w:p>
    <w:p w14:paraId="7FB6B102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如服务方未按《引进自助洗涤服务项目考评表》中相关标准执行服务工作，并且连续3次校方以工作联系单方式督促未有改善解决的。例如：“服务方未执行洗衣机单机每周进行2次以上消毒，消毒剂须由正规厂家生产的标准，并且连续3次校方以工作联系单方式督促未有改善解决的情况下等”。</w:t>
      </w:r>
    </w:p>
    <w:p w14:paraId="4506A0CB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8.若发生第1条、第2条终止合同的情况，乙方在接到甲方撤出通知之日起，须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内完成己方设施、设备撤出。逾期未完成撤出，场地占用费用按照，每逾期一天收取本年管理费的1%进行计算。乙方在接到甲方撤出通知之日起，30日内未完成己方设施、设备撤出，甲方有权进行服务方相关设施、设备处理。并且，拆卸、搬运、存储过程中产生的一切损失，乙方自行负担。</w:t>
      </w:r>
    </w:p>
    <w:p w14:paraId="0A766D41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成交单位在项目运营中，须设本项目专人（至少1名设备维护维修技术人员和至少1名设施消毒保洁人员），进行每天（7:00-23:00）服务时间内相关维护、维修、清洁、消毒等工作；同型号备用洗衣机相关设备储备不少于2套，常用配件储备应满足5套洗衣设备维修条件。</w:t>
      </w:r>
    </w:p>
    <w:p w14:paraId="697D089F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10.所投项目相关配套水电计量设施（即水电表），须经由校方进行采购，成交单位付费，并须在校方监督下完成安装驳接。</w:t>
      </w:r>
    </w:p>
    <w:p w14:paraId="0DFB914D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11.合作期满后，无论是否能够续约，服务方须配合校方继续服务至甲方通知其撤场为止，期间服务方继续收取相关合同约定产生的收益费用，甲方不再追加管理费，但水电费需正常缴纳。</w:t>
      </w:r>
    </w:p>
    <w:p w14:paraId="18F1EC6A">
      <w:pPr>
        <w:pStyle w:val="3"/>
        <w:spacing w:before="0" w:after="0" w:line="560" w:lineRule="exac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六、项目</w:t>
      </w:r>
      <w:r>
        <w:rPr>
          <w:rFonts w:hint="eastAsia" w:ascii="宋体" w:hAnsi="宋体" w:cs="宋体"/>
          <w:sz w:val="28"/>
          <w:szCs w:val="28"/>
        </w:rPr>
        <w:t>验收标</w:t>
      </w:r>
      <w:r>
        <w:rPr>
          <w:rFonts w:hint="eastAsia" w:ascii="宋体" w:hAnsi="宋体" w:cs="宋体"/>
          <w:sz w:val="28"/>
          <w:szCs w:val="28"/>
          <w:lang w:eastAsia="zh-CN"/>
        </w:rPr>
        <w:t>要求：</w:t>
      </w:r>
    </w:p>
    <w:p w14:paraId="3A28D384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1.货物到达现场后，供应商应在采购人在场情况下当面开包，共同清点、检查外观，作出验货记录，双方签字确认后开始安装调试。</w:t>
      </w:r>
    </w:p>
    <w:p w14:paraId="7767EFF8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2.成交供应商应保证货物到达采购人所在地完好无损，如有缺漏、损坏，由供应商负责调换、补齐或赔偿。</w:t>
      </w:r>
    </w:p>
    <w:p w14:paraId="45C6AB26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14:paraId="59D38934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①产品技术参数与采购合同一致，性能指标达到规定的标准；</w:t>
      </w:r>
    </w:p>
    <w:p w14:paraId="22A193CC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②产品技术资料、装箱单、授权文件等资料齐全；</w:t>
      </w:r>
    </w:p>
    <w:p w14:paraId="365E74FE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③在产品（系统）试运行期间所出现的问题得到解决，并运行正常；</w:t>
      </w:r>
    </w:p>
    <w:p w14:paraId="16548598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④在规定时间内完成交货并验收，并经采购人确认。</w:t>
      </w:r>
    </w:p>
    <w:p w14:paraId="49AC622B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4.产品在部署调试并试运行符合要求后，才作为最终验收。</w:t>
      </w:r>
    </w:p>
    <w:p w14:paraId="6694BA27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5.采购人对供应商交付的产品（包括质量、技术参数等）进行确认，并出具书面验收意见。</w:t>
      </w:r>
    </w:p>
    <w:p w14:paraId="51595C65">
      <w:pPr>
        <w:pStyle w:val="3"/>
        <w:spacing w:before="0" w:after="0" w:line="560" w:lineRule="exact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其他要求：</w:t>
      </w:r>
    </w:p>
    <w:p w14:paraId="4AAC8208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14:paraId="25E45BA3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2.采购人享有本项目实施过程中产生的知识成果及知识产权。</w:t>
      </w:r>
    </w:p>
    <w:p w14:paraId="1F4F3384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供应商如欲在项目实施过程中采用自有知识成果，需在响应文件中声明，并提供相关知识产权证明文件。使用该知识成果后，供应商需提供开发接口和开发手册等技术文档，并承诺提供无限期技术支持，采购人享有永久使用权。</w:t>
      </w:r>
    </w:p>
    <w:p w14:paraId="7B430B94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4.如采用供应商所不拥有的知识产权的产品，则在报价中必须包括合法获取该知识产权的相关费用。</w:t>
      </w:r>
      <w:bookmarkStart w:id="14" w:name="_Toc315871351"/>
      <w:bookmarkEnd w:id="14"/>
      <w:bookmarkStart w:id="15" w:name="_Toc315871574"/>
      <w:bookmarkEnd w:id="15"/>
      <w:bookmarkStart w:id="16" w:name="_Toc316475645"/>
      <w:bookmarkEnd w:id="16"/>
      <w:bookmarkStart w:id="17" w:name="_Toc321396066"/>
      <w:bookmarkEnd w:id="17"/>
      <w:bookmarkStart w:id="18" w:name="_Toc315871128"/>
      <w:bookmarkEnd w:id="18"/>
      <w:bookmarkStart w:id="19" w:name="_Toc315871626"/>
      <w:bookmarkEnd w:id="19"/>
      <w:bookmarkStart w:id="20" w:name="_Toc315871633"/>
      <w:bookmarkEnd w:id="20"/>
      <w:bookmarkStart w:id="21" w:name="_Toc316475738"/>
      <w:bookmarkEnd w:id="21"/>
      <w:bookmarkStart w:id="22" w:name="_Toc320624212"/>
      <w:bookmarkEnd w:id="22"/>
      <w:bookmarkStart w:id="23" w:name="_Toc315871129"/>
      <w:bookmarkEnd w:id="23"/>
      <w:bookmarkStart w:id="24" w:name="_Toc315871619"/>
      <w:bookmarkEnd w:id="24"/>
      <w:bookmarkStart w:id="25" w:name="_Toc338233568"/>
      <w:bookmarkEnd w:id="25"/>
      <w:bookmarkStart w:id="26" w:name="_Toc315871637"/>
      <w:bookmarkEnd w:id="26"/>
      <w:bookmarkStart w:id="27" w:name="_Toc338233515"/>
      <w:bookmarkEnd w:id="27"/>
      <w:bookmarkStart w:id="28" w:name="_Toc315871575"/>
      <w:bookmarkEnd w:id="28"/>
      <w:bookmarkStart w:id="29" w:name="_Toc316475739"/>
      <w:bookmarkEnd w:id="29"/>
      <w:bookmarkStart w:id="30" w:name="_Toc315871627"/>
      <w:bookmarkEnd w:id="30"/>
      <w:bookmarkStart w:id="31" w:name="_Toc315871141"/>
      <w:bookmarkEnd w:id="31"/>
      <w:bookmarkStart w:id="32" w:name="_Toc315871625"/>
      <w:bookmarkEnd w:id="32"/>
      <w:bookmarkStart w:id="33" w:name="_Toc338233631"/>
      <w:bookmarkEnd w:id="33"/>
      <w:bookmarkStart w:id="34" w:name="_Toc320624221"/>
      <w:bookmarkEnd w:id="34"/>
      <w:bookmarkStart w:id="35" w:name="_Toc316475642"/>
      <w:bookmarkEnd w:id="35"/>
      <w:bookmarkStart w:id="36" w:name="_Toc315871632"/>
      <w:bookmarkEnd w:id="36"/>
      <w:bookmarkStart w:id="37" w:name="_Toc315871630"/>
      <w:bookmarkEnd w:id="37"/>
      <w:bookmarkStart w:id="38" w:name="_Toc338233626"/>
      <w:bookmarkEnd w:id="38"/>
      <w:bookmarkStart w:id="39" w:name="_Toc316292239"/>
      <w:bookmarkEnd w:id="39"/>
      <w:bookmarkStart w:id="40" w:name="_Toc338233627"/>
      <w:bookmarkEnd w:id="40"/>
      <w:bookmarkStart w:id="41" w:name="_Toc320624218"/>
      <w:bookmarkEnd w:id="41"/>
      <w:bookmarkStart w:id="42" w:name="_Toc316475643"/>
      <w:bookmarkEnd w:id="42"/>
      <w:bookmarkStart w:id="43" w:name="_Toc315871634"/>
      <w:bookmarkEnd w:id="43"/>
      <w:bookmarkStart w:id="44" w:name="_Toc320624219"/>
      <w:bookmarkEnd w:id="44"/>
      <w:bookmarkStart w:id="45" w:name="_Toc315871624"/>
      <w:bookmarkEnd w:id="45"/>
      <w:bookmarkStart w:id="46" w:name="_Toc315871635"/>
      <w:bookmarkEnd w:id="46"/>
      <w:bookmarkStart w:id="47" w:name="_Toc315871132"/>
      <w:bookmarkEnd w:id="47"/>
      <w:bookmarkStart w:id="48" w:name="_Toc323736005"/>
      <w:bookmarkEnd w:id="48"/>
      <w:bookmarkStart w:id="49" w:name="_Toc338233569"/>
      <w:bookmarkEnd w:id="49"/>
      <w:bookmarkStart w:id="50" w:name="_Toc315871623"/>
      <w:bookmarkEnd w:id="50"/>
      <w:bookmarkStart w:id="51" w:name="_Toc338233625"/>
      <w:bookmarkEnd w:id="51"/>
      <w:bookmarkStart w:id="52" w:name="_Toc315871622"/>
      <w:bookmarkEnd w:id="52"/>
      <w:bookmarkStart w:id="53" w:name="_Toc315871134"/>
      <w:bookmarkEnd w:id="53"/>
      <w:bookmarkStart w:id="54" w:name="_Toc315871130"/>
      <w:bookmarkEnd w:id="54"/>
      <w:bookmarkStart w:id="55" w:name="_Toc320624223"/>
      <w:bookmarkEnd w:id="55"/>
      <w:bookmarkStart w:id="56" w:name="_Toc316475741"/>
      <w:bookmarkEnd w:id="56"/>
      <w:bookmarkStart w:id="57" w:name="_Toc315871319"/>
      <w:bookmarkEnd w:id="57"/>
      <w:bookmarkStart w:id="58" w:name="_Toc316475740"/>
      <w:bookmarkEnd w:id="58"/>
      <w:bookmarkStart w:id="59" w:name="_Toc315871303"/>
      <w:bookmarkEnd w:id="59"/>
      <w:bookmarkStart w:id="60" w:name="_Toc338233567"/>
      <w:bookmarkEnd w:id="60"/>
      <w:bookmarkStart w:id="61" w:name="_Toc320624214"/>
      <w:bookmarkEnd w:id="61"/>
      <w:bookmarkStart w:id="62" w:name="_Toc338233623"/>
      <w:bookmarkEnd w:id="62"/>
      <w:bookmarkStart w:id="63" w:name="_Toc315871631"/>
      <w:bookmarkEnd w:id="63"/>
      <w:bookmarkStart w:id="64" w:name="_Toc315871636"/>
      <w:bookmarkEnd w:id="64"/>
      <w:bookmarkStart w:id="65" w:name="_Toc315871451"/>
      <w:bookmarkEnd w:id="65"/>
      <w:bookmarkStart w:id="66" w:name="_Toc315871540"/>
      <w:bookmarkEnd w:id="66"/>
      <w:bookmarkStart w:id="67" w:name="_Toc338233621"/>
      <w:bookmarkEnd w:id="67"/>
      <w:bookmarkStart w:id="68" w:name="_Toc315871243"/>
      <w:bookmarkEnd w:id="68"/>
      <w:bookmarkStart w:id="69" w:name="_Toc315871131"/>
      <w:bookmarkEnd w:id="69"/>
      <w:bookmarkStart w:id="70" w:name="_Toc315871135"/>
      <w:bookmarkEnd w:id="70"/>
      <w:bookmarkStart w:id="71" w:name="_Toc315871452"/>
      <w:bookmarkEnd w:id="71"/>
      <w:bookmarkStart w:id="72" w:name="_Toc316291610"/>
      <w:bookmarkEnd w:id="72"/>
      <w:bookmarkStart w:id="73" w:name="_Toc338233622"/>
      <w:bookmarkEnd w:id="73"/>
      <w:bookmarkStart w:id="74" w:name="_Toc316475644"/>
      <w:bookmarkEnd w:id="74"/>
      <w:bookmarkStart w:id="75" w:name="_Toc338233516"/>
      <w:bookmarkEnd w:id="75"/>
      <w:bookmarkStart w:id="76" w:name="_Toc315871628"/>
      <w:bookmarkEnd w:id="76"/>
      <w:bookmarkStart w:id="77" w:name="_Toc315871140"/>
      <w:bookmarkEnd w:id="77"/>
      <w:bookmarkStart w:id="78" w:name="_Toc320624213"/>
      <w:bookmarkEnd w:id="78"/>
      <w:bookmarkStart w:id="79" w:name="_Toc315871136"/>
      <w:bookmarkEnd w:id="79"/>
      <w:bookmarkStart w:id="80" w:name="_Toc315871620"/>
      <w:bookmarkEnd w:id="80"/>
      <w:bookmarkStart w:id="81" w:name="_Toc338233630"/>
      <w:bookmarkEnd w:id="81"/>
      <w:bookmarkStart w:id="82" w:name="_Toc315871133"/>
      <w:bookmarkEnd w:id="82"/>
      <w:bookmarkStart w:id="83" w:name="_Toc320624220"/>
      <w:bookmarkEnd w:id="83"/>
      <w:bookmarkStart w:id="84" w:name="_Toc338233565"/>
      <w:bookmarkEnd w:id="84"/>
      <w:bookmarkStart w:id="85" w:name="_Toc338233514"/>
      <w:bookmarkEnd w:id="85"/>
      <w:bookmarkStart w:id="86" w:name="_Toc315871235"/>
      <w:bookmarkEnd w:id="86"/>
      <w:bookmarkStart w:id="87" w:name="_Toc338233632"/>
      <w:bookmarkEnd w:id="87"/>
      <w:bookmarkStart w:id="88" w:name="_Toc316291612"/>
      <w:bookmarkEnd w:id="88"/>
      <w:bookmarkStart w:id="89" w:name="_Toc338233629"/>
      <w:bookmarkEnd w:id="89"/>
      <w:bookmarkStart w:id="90" w:name="_Toc316292240"/>
      <w:bookmarkEnd w:id="90"/>
      <w:bookmarkStart w:id="91" w:name="_Toc320624216"/>
      <w:bookmarkEnd w:id="91"/>
      <w:bookmarkStart w:id="92" w:name="_Toc338233624"/>
      <w:bookmarkEnd w:id="92"/>
      <w:bookmarkStart w:id="93" w:name="_Toc315871223"/>
      <w:bookmarkEnd w:id="93"/>
      <w:bookmarkStart w:id="94" w:name="_Toc315871307"/>
      <w:bookmarkEnd w:id="94"/>
      <w:bookmarkStart w:id="95" w:name="_Toc338233566"/>
      <w:bookmarkEnd w:id="95"/>
      <w:bookmarkStart w:id="96" w:name="_Toc316292241"/>
      <w:bookmarkEnd w:id="96"/>
      <w:bookmarkStart w:id="97" w:name="_Toc315871573"/>
      <w:bookmarkEnd w:id="97"/>
      <w:bookmarkStart w:id="98" w:name="_Toc320624222"/>
      <w:bookmarkEnd w:id="98"/>
      <w:bookmarkStart w:id="99" w:name="_Toc315871609"/>
      <w:bookmarkEnd w:id="99"/>
      <w:bookmarkStart w:id="100" w:name="_Toc315871247"/>
      <w:bookmarkEnd w:id="100"/>
      <w:bookmarkStart w:id="101" w:name="_Toc320624217"/>
      <w:bookmarkEnd w:id="101"/>
      <w:bookmarkStart w:id="102" w:name="_Toc315871357"/>
      <w:bookmarkEnd w:id="102"/>
      <w:bookmarkStart w:id="103" w:name="_Toc315871092"/>
      <w:bookmarkEnd w:id="103"/>
      <w:bookmarkStart w:id="104" w:name="_Toc338233628"/>
      <w:bookmarkEnd w:id="104"/>
      <w:bookmarkStart w:id="105" w:name="_Toc315871311"/>
      <w:bookmarkEnd w:id="105"/>
      <w:bookmarkStart w:id="106" w:name="_Toc315871629"/>
      <w:bookmarkEnd w:id="106"/>
      <w:bookmarkStart w:id="107" w:name="_Toc320624215"/>
      <w:bookmarkEnd w:id="107"/>
      <w:bookmarkStart w:id="108" w:name="_Toc315871363"/>
      <w:bookmarkEnd w:id="108"/>
      <w:bookmarkStart w:id="109" w:name="_Toc320624224"/>
      <w:bookmarkEnd w:id="109"/>
      <w:bookmarkStart w:id="110" w:name="_Toc315871139"/>
      <w:bookmarkEnd w:id="110"/>
      <w:bookmarkStart w:id="111" w:name="_Toc316291611"/>
      <w:bookmarkEnd w:id="111"/>
    </w:p>
    <w:p w14:paraId="29CB84DF">
      <w:pPr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八、履约保证金：</w:t>
      </w:r>
    </w:p>
    <w:p w14:paraId="79DC0E94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中标人需在签订合同前，向招标人缴纳2万元的履约保证金。除不可抗力因素外，不能如期签订合同的中标人，履约保证金不予退还。</w:t>
      </w:r>
    </w:p>
    <w:p w14:paraId="3123EE23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扣除履约保证金的条件包括以下：未定时缴纳水电费、水质检查不达标、不服从监管、未定期完成施工、服务期满后在接到甲方通知后未在规定时间内完成撤场工作、不履行合同相关条款等。</w:t>
      </w:r>
      <w:bookmarkEnd w:id="13"/>
    </w:p>
    <w:p w14:paraId="2AFFFA11">
      <w:pPr>
        <w:pStyle w:val="4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注：</w:t>
      </w:r>
    </w:p>
    <w:p w14:paraId="079A33F1">
      <w:pPr>
        <w:pStyle w:val="4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1.“技术要求”不指向任何一种品牌或投标人；</w:t>
      </w:r>
    </w:p>
    <w:p w14:paraId="4C8C5515">
      <w:pPr>
        <w:pStyle w:val="4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投标人应注意遴选文件的采购需求中指出的工艺、材料、软件和设备的参照品牌或型号仅起说明作用，并没有任何限制性。投标人在采购活动中可以选用替代标准、品牌或型号，但这些替代要实质上满足或优于遴选文件的要求。</w:t>
      </w:r>
    </w:p>
    <w:p w14:paraId="4176D5FF">
      <w:pPr>
        <w:pStyle w:val="4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3.投标人提报产品的各项技术指标不能低于国家强制性标准，否则投标无效。</w:t>
      </w:r>
    </w:p>
    <w:p w14:paraId="1FEA61BE">
      <w:pPr>
        <w:pStyle w:val="4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4.技术要求全部内容均为实质性条款，若有任何一条负偏离或不满足要求，则导致投标无效。</w:t>
      </w:r>
    </w:p>
    <w:p w14:paraId="2E6AFDCE"/>
    <w:sectPr>
      <w:pgSz w:w="11906" w:h="16838"/>
      <w:pgMar w:top="1134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607E6"/>
    <w:rsid w:val="003911EF"/>
    <w:rsid w:val="467439DD"/>
    <w:rsid w:val="5399346E"/>
    <w:rsid w:val="558660D3"/>
    <w:rsid w:val="6E410A3D"/>
    <w:rsid w:val="74B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宋体" w:hAnsi="Courier New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2025-05-11T02:28:00Z</dcterms:created>
  <dc:creator>Sugar_</dc:creator>
  <cp:lastModifiedBy>Sugar_</cp:lastModifiedBy>
  <dcterms:modified xsi:type="dcterms:W3CDTF">2025-05-11T02:28:49Z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4D50F1A82A7445EA98662632259BB881_11</vt:lpwstr>
  </property>
  <property fmtid="{D5CDD505-2E9C-101B-9397-08002B2CF9AE}" pid="4" name="KSOTemplateDocerSaveRecord">
    <vt:lpwstr>eyJoZGlkIjoiY2RhNDQ2ZjkyYjAyMzE2NTY5YzI2YmZkYWJlNTlkZjMiLCJ1c2VySWQiOiIxMTgxOTAyNjE0In0=</vt:lpwstr>
  </property>
</Properties>
</file>